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jc w:val="right"/>
        <w:rPr>
          <w:sz w:val="26"/>
          <w:szCs w:val="26"/>
        </w:rPr>
      </w:pPr>
      <w:r>
        <w:rPr>
          <w:sz w:val="26"/>
          <w:szCs w:val="26"/>
        </w:rPr>
      </w:r>
    </w:p>
    <w:tbl>
      <w:tblPr>
        <w:tblStyle w:val="a5"/>
        <w:tblW w:w="9921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665"/>
        <w:gridCol w:w="722"/>
        <w:gridCol w:w="4534"/>
      </w:tblGrid>
      <w:tr>
        <w:trPr/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kern w:val="0"/>
                <w:sz w:val="20"/>
                <w:szCs w:val="20"/>
                <w:lang w:val="ru-RU" w:bidi="ar-SA"/>
              </w:rPr>
              <w:t>«ПОДГОТОВИЛ»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kern w:val="0"/>
                <w:sz w:val="20"/>
                <w:szCs w:val="20"/>
                <w:lang w:val="ru-RU" w:bidi="ar-SA"/>
              </w:rPr>
              <w:t>«УТВЕРЖДАЮ»</w:t>
            </w:r>
          </w:p>
        </w:tc>
      </w:tr>
      <w:tr>
        <w:trPr/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bidi="ar-SA"/>
              </w:rPr>
              <w:t>Технический куратор договора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bidi="ar-SA"/>
              </w:rPr>
              <w:t>Инициатор договора</w:t>
            </w:r>
          </w:p>
        </w:tc>
      </w:tr>
      <w:tr>
        <w:trPr/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bidi="ar-SA"/>
              </w:rPr>
              <w:t>Ведущий специалист отдела комплексного обслуживания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bidi="ar-SA"/>
              </w:rPr>
              <w:t xml:space="preserve">Начальник управления </w:t>
            </w:r>
            <w:r>
              <w:rPr>
                <w:kern w:val="0"/>
                <w:sz w:val="20"/>
                <w:szCs w:val="20"/>
                <w:lang w:val="ru-RU" w:bidi="ar-SA"/>
              </w:rPr>
              <w:t>обслуживания объектов</w:t>
            </w:r>
          </w:p>
        </w:tc>
      </w:tr>
      <w:tr>
        <w:trPr/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bidi="ar-SA"/>
              </w:rPr>
              <w:t>______________/ Стрелец В.А.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bidi="ar-SA"/>
              </w:rPr>
              <w:t>______________/ Решетникова А.А.</w:t>
            </w:r>
          </w:p>
        </w:tc>
      </w:tr>
      <w:tr>
        <w:trPr/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bidi="ar-SA"/>
              </w:rPr>
              <w:t>«</w:t>
            </w:r>
            <w:r>
              <w:rPr>
                <w:kern w:val="0"/>
                <w:sz w:val="20"/>
                <w:szCs w:val="20"/>
                <w:lang w:val="ru-RU" w:bidi="ar-SA"/>
              </w:rPr>
              <w:t>20</w:t>
            </w:r>
            <w:r>
              <w:rPr>
                <w:kern w:val="0"/>
                <w:sz w:val="20"/>
                <w:szCs w:val="20"/>
                <w:lang w:val="ru-RU" w:bidi="ar-SA"/>
              </w:rPr>
              <w:t>» июл</w:t>
            </w:r>
            <w:r>
              <w:rPr>
                <w:kern w:val="0"/>
                <w:sz w:val="20"/>
                <w:szCs w:val="20"/>
                <w:lang w:val="ru-RU" w:bidi="ar-SA"/>
              </w:rPr>
              <w:t>я</w:t>
            </w:r>
            <w:r>
              <w:rPr>
                <w:kern w:val="0"/>
                <w:sz w:val="20"/>
                <w:szCs w:val="20"/>
                <w:lang w:val="ru-RU" w:bidi="ar-SA"/>
              </w:rPr>
              <w:t xml:space="preserve"> 2026 года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suppressAutoHyphens w:val="true"/>
              <w:spacing w:before="0" w:after="0"/>
              <w:jc w:val="right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bidi="ar-SA"/>
              </w:rPr>
              <w:t>20</w:t>
            </w:r>
            <w:r>
              <w:rPr>
                <w:kern w:val="0"/>
                <w:sz w:val="20"/>
                <w:szCs w:val="20"/>
                <w:lang w:val="ru-RU" w:bidi="ar-SA"/>
              </w:rPr>
              <w:t>» июл</w:t>
            </w:r>
            <w:r>
              <w:rPr>
                <w:kern w:val="0"/>
                <w:sz w:val="20"/>
                <w:szCs w:val="20"/>
                <w:lang w:val="ru-RU" w:bidi="ar-SA"/>
              </w:rPr>
              <w:t>я</w:t>
            </w:r>
            <w:r>
              <w:rPr>
                <w:kern w:val="0"/>
                <w:sz w:val="20"/>
                <w:szCs w:val="20"/>
                <w:lang w:val="ru-RU" w:bidi="ar-SA"/>
              </w:rPr>
              <w:t xml:space="preserve"> 2026 года</w:t>
            </w:r>
          </w:p>
        </w:tc>
      </w:tr>
    </w:tbl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 xml:space="preserve">ТЕХНИЧЕСКИЕ ТРЕБОВАНИЯ </w:t>
      </w:r>
    </w:p>
    <w:p>
      <w:pPr>
        <w:pStyle w:val="Normal"/>
        <w:keepNext w:val="true"/>
        <w:keepLines/>
        <w:jc w:val="center"/>
        <w:rPr>
          <w:rFonts w:eastAsia="Calibri"/>
          <w:b/>
          <w:bCs/>
          <w:sz w:val="24"/>
          <w:szCs w:val="24"/>
          <w:highlight w:val="none"/>
          <w:shd w:fill="auto" w:val="clear"/>
        </w:rPr>
      </w:pPr>
      <w:r>
        <w:rPr>
          <w:rFonts w:eastAsia="Calibri"/>
          <w:b/>
          <w:bCs/>
          <w:sz w:val="24"/>
          <w:szCs w:val="24"/>
          <w:shd w:fill="auto" w:val="clear"/>
        </w:rPr>
      </w:r>
    </w:p>
    <w:p>
      <w:pPr>
        <w:pStyle w:val="Normal"/>
        <w:bidi w:val="0"/>
        <w:jc w:val="center"/>
        <w:rPr>
          <w:highlight w:val="none"/>
          <w:shd w:fill="auto" w:val="clear"/>
        </w:rPr>
      </w:pPr>
      <w:r>
        <w:rPr>
          <w:rFonts w:eastAsia="Calibri" w:cs="Times New Roman"/>
          <w:b/>
          <w:bCs/>
          <w:color w:val="000000"/>
          <w:kern w:val="0"/>
          <w:sz w:val="24"/>
          <w:szCs w:val="24"/>
          <w:shd w:fill="auto" w:val="clear"/>
          <w:lang w:val="ru-RU" w:eastAsia="ru-RU" w:bidi="ar-SA"/>
        </w:rPr>
        <w:t>ОКПД2 81.30.10.000 Оказание услуг по покосу травы и сорной растительности на объектах филиала ПАО «РусГидро» - «Дагестанский филиал»</w:t>
      </w:r>
    </w:p>
    <w:p>
      <w:pPr>
        <w:pStyle w:val="Normal"/>
        <w:numPr>
          <w:ilvl w:val="0"/>
          <w:numId w:val="0"/>
        </w:numPr>
        <w:bidi w:val="0"/>
        <w:ind w:left="792" w:hanging="0"/>
        <w:jc w:val="center"/>
        <w:rPr>
          <w:rFonts w:ascii="Times New Roman" w:hAnsi="Times New Roman"/>
          <w:b/>
          <w:bCs/>
          <w:highlight w:val="none"/>
          <w:shd w:fill="auto" w:val="clear"/>
        </w:rPr>
      </w:pPr>
      <w:r>
        <w:rPr>
          <w:b/>
          <w:bCs/>
          <w:shd w:fill="auto" w:val="clear"/>
        </w:rPr>
      </w:r>
    </w:p>
    <w:p>
      <w:pPr>
        <w:pStyle w:val="Normal"/>
        <w:keepNext w:val="true"/>
        <w:keepLines/>
        <w:jc w:val="center"/>
        <w:rPr>
          <w:color w:val="000000"/>
          <w:sz w:val="24"/>
          <w:szCs w:val="24"/>
          <w:highlight w:val="none"/>
          <w:shd w:fill="auto" w:val="clear"/>
        </w:rPr>
      </w:pPr>
      <w:r>
        <w:rPr>
          <w:color w:val="000000"/>
          <w:sz w:val="24"/>
          <w:szCs w:val="24"/>
          <w:shd w:fill="auto" w:val="clear"/>
        </w:rPr>
      </w:r>
    </w:p>
    <w:p>
      <w:pPr>
        <w:pStyle w:val="Normal"/>
        <w:keepNext w:val="true"/>
        <w:keepLines/>
        <w:jc w:val="center"/>
        <w:rPr>
          <w:highlight w:val="none"/>
          <w:shd w:fill="auto" w:val="clear"/>
        </w:rPr>
      </w:pPr>
      <w:r>
        <w:rPr>
          <w:rFonts w:eastAsia="Calibri" w:cs="Times New Roman"/>
          <w:b/>
          <w:bCs/>
          <w:color w:val="000000"/>
          <w:kern w:val="0"/>
          <w:sz w:val="24"/>
          <w:szCs w:val="24"/>
          <w:shd w:fill="auto" w:val="clear"/>
          <w:lang w:val="ru-RU" w:eastAsia="ru-RU" w:bidi="ar-SA"/>
        </w:rPr>
        <w:t>Лот № 0022-ТО ДУД-2026-СК РусГидро</w:t>
      </w:r>
    </w:p>
    <w:p>
      <w:pPr>
        <w:pStyle w:val="Normal"/>
        <w:jc w:val="center"/>
        <w:rPr>
          <w:color w:val="000000"/>
          <w:sz w:val="24"/>
          <w:szCs w:val="24"/>
          <w:highlight w:val="none"/>
          <w:shd w:fill="auto" w:val="clear"/>
        </w:rPr>
      </w:pPr>
      <w:r>
        <w:rPr>
          <w:color w:val="000000"/>
          <w:sz w:val="24"/>
          <w:szCs w:val="24"/>
          <w:shd w:fill="auto" w:val="clear"/>
        </w:rPr>
      </w:r>
    </w:p>
    <w:p>
      <w:pPr>
        <w:pStyle w:val="Normal"/>
        <w:keepNext w:val="true"/>
        <w:keepLines/>
        <w:jc w:val="center"/>
        <w:rPr>
          <w:color w:val="000000"/>
          <w:sz w:val="24"/>
          <w:szCs w:val="24"/>
          <w:highlight w:val="none"/>
          <w:shd w:fill="auto" w:val="clear"/>
        </w:rPr>
      </w:pPr>
      <w:r>
        <w:rPr>
          <w:color w:val="000000"/>
          <w:sz w:val="24"/>
          <w:szCs w:val="24"/>
          <w:shd w:fill="auto" w:val="clear"/>
        </w:rPr>
      </w:r>
    </w:p>
    <w:p>
      <w:pPr>
        <w:pStyle w:val="Normal"/>
        <w:spacing w:lineRule="auto" w:line="259" w:before="0" w:after="160"/>
        <w:rPr>
          <w:color w:val="000000"/>
          <w:sz w:val="24"/>
          <w:szCs w:val="24"/>
          <w:shd w:fill="FFFFFF" w:val="clear"/>
        </w:rPr>
      </w:pPr>
      <w:r>
        <w:rPr>
          <w:color w:val="000000"/>
          <w:sz w:val="24"/>
          <w:szCs w:val="24"/>
          <w:shd w:fill="FFFFFF" w:val="clear"/>
        </w:rPr>
      </w:r>
      <w:r>
        <w:br w:type="page"/>
      </w:r>
    </w:p>
    <w:p>
      <w:pPr>
        <w:pStyle w:val="ListParagraph"/>
        <w:numPr>
          <w:ilvl w:val="0"/>
          <w:numId w:val="4"/>
        </w:numPr>
        <w:spacing w:lineRule="auto" w:line="240" w:before="0" w:after="0"/>
        <w:ind w:left="0" w:right="0" w:firstLine="709"/>
        <w:contextualSpacing w:val="false"/>
        <w:jc w:val="both"/>
        <w:rPr>
          <w:sz w:val="24"/>
          <w:szCs w:val="24"/>
        </w:rPr>
      </w:pPr>
      <w:bookmarkStart w:id="0" w:name="_Toc130372574"/>
      <w:r>
        <w:rPr>
          <w:b/>
          <w:sz w:val="24"/>
          <w:szCs w:val="24"/>
        </w:rPr>
        <w:t>Общие сведения</w:t>
      </w:r>
      <w:bookmarkEnd w:id="0"/>
    </w:p>
    <w:p>
      <w:pPr>
        <w:pStyle w:val="ListParagraph"/>
        <w:numPr>
          <w:ilvl w:val="1"/>
          <w:numId w:val="4"/>
        </w:numPr>
        <w:spacing w:lineRule="auto" w:line="240" w:before="0" w:after="0"/>
        <w:ind w:left="0" w:right="0" w:firstLine="709"/>
        <w:contextualSpacing w:val="false"/>
        <w:jc w:val="both"/>
        <w:rPr>
          <w:sz w:val="24"/>
          <w:szCs w:val="24"/>
        </w:rPr>
      </w:pPr>
      <w:bookmarkStart w:id="1" w:name="_Toc54643696"/>
      <w:bookmarkStart w:id="2" w:name="_Toc46743506"/>
      <w:r>
        <w:rPr>
          <w:b/>
          <w:sz w:val="24"/>
          <w:szCs w:val="24"/>
        </w:rPr>
        <w:t>Наименование закупаемой продукции</w:t>
      </w:r>
      <w:bookmarkEnd w:id="1"/>
      <w:bookmarkEnd w:id="2"/>
      <w:r>
        <w:rPr>
          <w:b/>
          <w:sz w:val="24"/>
          <w:szCs w:val="24"/>
        </w:rPr>
        <w:t>:</w:t>
      </w:r>
    </w:p>
    <w:p>
      <w:pPr>
        <w:pStyle w:val="Normal"/>
        <w:numPr>
          <w:ilvl w:val="0"/>
          <w:numId w:val="0"/>
        </w:numPr>
        <w:bidi w:val="0"/>
        <w:spacing w:lineRule="auto" w:line="240" w:before="0" w:after="0"/>
        <w:ind w:left="0" w:right="0" w:firstLine="709"/>
        <w:jc w:val="both"/>
        <w:rPr>
          <w:sz w:val="24"/>
          <w:szCs w:val="24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shd w:fill="auto" w:val="clear"/>
          <w:em w:val="none"/>
        </w:rPr>
        <w:t>ОКПД2 81.30.10.000 Оказание услуг по покосу травы и сорной растительности на объектах филиала ПАО «РусГидро» - «Дагестанский филиал»</w:t>
      </w:r>
    </w:p>
    <w:p>
      <w:pPr>
        <w:pStyle w:val="Normal"/>
        <w:ind w:hanging="0"/>
        <w:rPr>
          <w:i/>
          <w:i/>
          <w:sz w:val="24"/>
          <w:szCs w:val="24"/>
        </w:rPr>
      </w:pPr>
      <w:r>
        <w:rPr>
          <w:i/>
          <w:sz w:val="24"/>
          <w:szCs w:val="24"/>
        </w:rPr>
      </w:r>
      <w:bookmarkStart w:id="3" w:name="_Toc54643697"/>
      <w:bookmarkStart w:id="4" w:name="_Toc54643697"/>
    </w:p>
    <w:p>
      <w:pPr>
        <w:pStyle w:val="ListParagraph"/>
        <w:numPr>
          <w:ilvl w:val="1"/>
          <w:numId w:val="4"/>
        </w:numPr>
        <w:ind w:left="0" w:firstLine="709"/>
        <w:jc w:val="both"/>
        <w:rPr>
          <w:sz w:val="24"/>
          <w:szCs w:val="24"/>
        </w:rPr>
      </w:pPr>
      <w:bookmarkStart w:id="5" w:name="_Toc46743507"/>
      <w:r>
        <w:rPr>
          <w:b/>
          <w:sz w:val="24"/>
          <w:szCs w:val="24"/>
        </w:rPr>
        <w:t xml:space="preserve">Цель </w:t>
      </w:r>
      <w:bookmarkEnd w:id="5"/>
      <w:r>
        <w:rPr>
          <w:b/>
          <w:sz w:val="24"/>
          <w:szCs w:val="24"/>
        </w:rPr>
        <w:t>оказания услуг</w:t>
      </w:r>
      <w:bookmarkEnd w:id="4"/>
      <w:r>
        <w:rPr>
          <w:b/>
          <w:sz w:val="24"/>
          <w:szCs w:val="24"/>
        </w:rPr>
        <w:t>: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shd w:fill="auto" w:val="clear"/>
          <w:em w:val="none"/>
          <w:lang w:val="ru-RU" w:eastAsia="ru-RU" w:bidi="ar-SA"/>
        </w:rPr>
        <w:t>Покос травы и сорной растительности проводится с целью предупреждения аварийных ситуаций, связанных с возгоранием высохшей травы и в целях придания ухоженного вида территории, а также общего благоустройства.</w:t>
      </w:r>
    </w:p>
    <w:p>
      <w:pPr>
        <w:pStyle w:val="Normal"/>
        <w:ind w:firstLine="709"/>
        <w:jc w:val="both"/>
        <w:rPr>
          <w:rFonts w:ascii="Times New Roman" w:hAnsi="Times New Roman" w:eastAsia="Times New Roman" w:cs="Times New Roman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shd w:fill="auto" w:val="clear"/>
          <w:em w:val="none"/>
          <w:lang w:val="ru-RU" w:eastAsia="ru-RU" w:bidi="ar-SA"/>
        </w:rPr>
      </w:pPr>
      <w:r>
        <w:rPr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shd w:fill="auto" w:val="clear"/>
          <w:em w:val="none"/>
          <w:lang w:val="ru-RU" w:eastAsia="ru-RU" w:bidi="ar-SA"/>
        </w:rPr>
        <w:t>Работы выполняются на действующих энергетических объектах при работе гидросилового оборудования, находящегося под высоким напряжением.</w:t>
      </w:r>
    </w:p>
    <w:p>
      <w:pPr>
        <w:pStyle w:val="Normal"/>
        <w:widowControl w:val="false"/>
        <w:tabs>
          <w:tab w:val="clear" w:pos="720"/>
          <w:tab w:val="left" w:pos="426" w:leader="none"/>
        </w:tabs>
        <w:ind w:firstLine="709"/>
        <w:jc w:val="both"/>
        <w:rPr>
          <w:bCs/>
          <w:color w:val="000000"/>
          <w:sz w:val="24"/>
          <w:szCs w:val="24"/>
          <w:shd w:fill="FFFFFF" w:val="clear"/>
        </w:rPr>
      </w:pPr>
      <w:r>
        <w:rPr>
          <w:bCs/>
          <w:color w:val="000000"/>
          <w:sz w:val="24"/>
          <w:szCs w:val="24"/>
          <w:shd w:fill="FFFFFF" w:val="clear"/>
        </w:rPr>
      </w:r>
    </w:p>
    <w:p>
      <w:pPr>
        <w:pStyle w:val="ListParagraph"/>
        <w:numPr>
          <w:ilvl w:val="1"/>
          <w:numId w:val="4"/>
        </w:numPr>
        <w:ind w:left="0" w:firstLine="709"/>
        <w:jc w:val="both"/>
        <w:rPr>
          <w:sz w:val="24"/>
          <w:szCs w:val="24"/>
        </w:rPr>
      </w:pPr>
      <w:bookmarkStart w:id="6" w:name="_Toc46743508"/>
      <w:bookmarkStart w:id="7" w:name="_Toc54643698"/>
      <w:r>
        <w:rPr>
          <w:b/>
          <w:sz w:val="24"/>
          <w:szCs w:val="24"/>
        </w:rPr>
        <w:t>Существующее положение</w:t>
      </w:r>
      <w:bookmarkEnd w:id="6"/>
      <w:bookmarkEnd w:id="7"/>
      <w:r>
        <w:rPr>
          <w:b/>
          <w:sz w:val="24"/>
          <w:szCs w:val="24"/>
        </w:rPr>
        <w:t>:</w:t>
      </w:r>
    </w:p>
    <w:p>
      <w:pPr>
        <w:pStyle w:val="BlockText"/>
        <w:ind w:left="0" w:right="-2" w:firstLine="708"/>
        <w:jc w:val="both"/>
        <w:rPr>
          <w:sz w:val="24"/>
          <w:szCs w:val="24"/>
        </w:rPr>
      </w:pPr>
      <w:r>
        <w:rPr>
          <w:b w:val="false"/>
          <w:sz w:val="24"/>
          <w:szCs w:val="24"/>
        </w:rPr>
        <w:t>Здания, сооружения и территория филиалов ПАО «РусГидро, находящиеся в постоянной эксплуатации, требуют периодических воздействий для сохранения и восстановления своих эксплуатационных свойств, поддержания внешнего вида поверхностей надлежащем виде.</w:t>
      </w:r>
    </w:p>
    <w:p>
      <w:pPr>
        <w:pStyle w:val="BlockText"/>
        <w:ind w:left="0" w:right="-2" w:firstLine="708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426" w:leader="none"/>
        </w:tabs>
        <w:jc w:val="both"/>
        <w:rPr>
          <w:sz w:val="24"/>
          <w:szCs w:val="24"/>
        </w:rPr>
      </w:pPr>
      <w:bookmarkStart w:id="8" w:name="_Toc54643699"/>
      <w:r>
        <w:rPr>
          <w:b/>
          <w:bCs/>
          <w:color w:val="000000"/>
          <w:sz w:val="24"/>
          <w:szCs w:val="24"/>
          <w:shd w:fill="FFFFFF" w:val="clear"/>
        </w:rPr>
        <w:t>Таблица 1. Перечень объектов заказчика</w:t>
      </w:r>
      <w:bookmarkEnd w:id="8"/>
    </w:p>
    <w:tbl>
      <w:tblPr>
        <w:tblW w:w="9917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562"/>
        <w:gridCol w:w="1559"/>
        <w:gridCol w:w="3119"/>
        <w:gridCol w:w="2426"/>
        <w:gridCol w:w="2251"/>
      </w:tblGrid>
      <w:tr>
        <w:trPr>
          <w:trHeight w:val="20" w:hRule="atLeas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№</w:t>
            </w:r>
          </w:p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п/п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Наименование объекта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Расположение объекта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/>
                <w:bCs/>
                <w:sz w:val="18"/>
                <w:szCs w:val="18"/>
                <w:shd w:fill="auto" w:val="clear"/>
                <w:lang w:val="ru-RU"/>
              </w:rPr>
              <w:t>Наименование объекта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Примечания</w:t>
            </w:r>
          </w:p>
        </w:tc>
      </w:tr>
      <w:tr>
        <w:trPr>
          <w:trHeight w:val="20" w:hRule="atLeas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ru-RU"/>
              </w:rPr>
              <w:t>3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/>
                <w:sz w:val="18"/>
                <w:szCs w:val="18"/>
                <w:shd w:fill="auto" w:val="clear"/>
                <w:lang w:val="ru-RU"/>
              </w:rPr>
              <w:t>4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ru-RU"/>
              </w:rPr>
              <w:t>5</w:t>
            </w:r>
          </w:p>
        </w:tc>
      </w:tr>
      <w:tr>
        <w:trPr>
          <w:trHeight w:val="92" w:hRule="atLeast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right="0" w:hanging="0"/>
              <w:contextualSpacing/>
              <w:jc w:val="center"/>
              <w:rPr>
                <w:rFonts w:eastAsia="Calibri"/>
                <w:sz w:val="18"/>
                <w:szCs w:val="18"/>
                <w:lang w:val="ru-RU"/>
              </w:rPr>
            </w:pPr>
            <w:r>
              <w:rPr>
                <w:rFonts w:eastAsia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  <w:shd w:fill="auto" w:val="clear"/>
              </w:rPr>
              <w:t>Ирганайская ГЭС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  <w:shd w:fill="auto" w:val="clear"/>
              </w:rPr>
              <w:t>р. Аварское Койсу, Унцукульский район Республики Дагестан</w:t>
            </w:r>
          </w:p>
        </w:tc>
        <w:tc>
          <w:tcPr>
            <w:tcW w:w="2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0"/>
              <w:widowControl w:val="false"/>
              <w:jc w:val="both"/>
              <w:rPr>
                <w:rFonts w:ascii="Times New Roman" w:hAnsi="Times New Roman" w:eastAsia="Times New Roman" w:cs="Times New Roman"/>
                <w:iCs/>
                <w:color w:val="auto"/>
                <w:kern w:val="0"/>
                <w:sz w:val="18"/>
                <w:szCs w:val="18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color w:val="000000"/>
                <w:kern w:val="0"/>
                <w:sz w:val="18"/>
                <w:szCs w:val="18"/>
                <w:shd w:fill="auto" w:val="clear"/>
                <w:lang w:val="ru-RU" w:eastAsia="ru-RU" w:bidi="ar-SA"/>
              </w:rPr>
              <w:t>Грунтовая плотина</w:t>
            </w:r>
          </w:p>
        </w:tc>
        <w:tc>
          <w:tcPr>
            <w:tcW w:w="225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bCs/>
                <w:iCs/>
                <w:color w:val="auto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iCs/>
                <w:color w:val="auto"/>
                <w:kern w:val="0"/>
                <w:sz w:val="18"/>
                <w:szCs w:val="18"/>
                <w:lang w:val="ru-RU" w:eastAsia="ru-RU" w:bidi="ar-SA"/>
              </w:rPr>
              <w:t>Эксплуатирующая организация филиал ПАО «РусГидро» - «Дагестанский филиал»</w:t>
            </w:r>
          </w:p>
        </w:tc>
      </w:tr>
      <w:tr>
        <w:trPr>
          <w:trHeight w:val="20" w:hRule="atLeast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contextualSpacing/>
              <w:jc w:val="center"/>
              <w:rPr>
                <w:rFonts w:eastAsia="Calibri"/>
                <w:sz w:val="18"/>
                <w:szCs w:val="18"/>
                <w:lang w:val="ru-RU"/>
              </w:rPr>
            </w:pPr>
            <w:r>
              <w:rPr>
                <w:rFonts w:eastAsia="Calibri"/>
                <w:sz w:val="18"/>
                <w:szCs w:val="18"/>
                <w:lang w:val="ru-RU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  <w:shd w:fill="auto" w:val="clear"/>
              </w:rPr>
              <w:t>Гоцатлинская ГЭС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  <w:shd w:fill="auto" w:val="clear"/>
              </w:rPr>
              <w:t>р. Аварское Койсу (в 44 км от ее устья) в Республике Дагестан, у с. Чалда Гергебильского района</w:t>
            </w:r>
          </w:p>
        </w:tc>
        <w:tc>
          <w:tcPr>
            <w:tcW w:w="2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320" w:leader="none"/>
              </w:tabs>
              <w:spacing w:before="0" w:after="0"/>
              <w:ind w:left="0" w:right="0" w:hanging="0"/>
              <w:contextualSpacing w:val="false"/>
              <w:jc w:val="both"/>
              <w:rPr>
                <w:rFonts w:ascii="Times New Roman" w:hAnsi="Times New Roman" w:eastAsia="Times New Roman" w:cs="Times New Roman"/>
                <w:iCs/>
                <w:color w:val="auto"/>
                <w:kern w:val="0"/>
                <w:sz w:val="18"/>
                <w:szCs w:val="18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color w:val="000000"/>
                <w:kern w:val="0"/>
                <w:sz w:val="18"/>
                <w:szCs w:val="18"/>
                <w:shd w:fill="auto" w:val="clear"/>
                <w:lang w:val="ru-RU" w:eastAsia="ru-RU" w:bidi="ar-SA"/>
              </w:rPr>
              <w:t>Грунтовая плотина</w:t>
            </w:r>
          </w:p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320" w:leader="none"/>
              </w:tabs>
              <w:spacing w:before="0" w:after="0"/>
              <w:ind w:left="0" w:right="0" w:hanging="0"/>
              <w:contextualSpacing w:val="false"/>
              <w:jc w:val="both"/>
              <w:rPr>
                <w:rFonts w:ascii="Times New Roman" w:hAnsi="Times New Roman" w:eastAsia="Times New Roman" w:cs="Times New Roman"/>
                <w:iCs/>
                <w:color w:val="auto"/>
                <w:kern w:val="0"/>
                <w:sz w:val="18"/>
                <w:szCs w:val="18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color w:val="000000"/>
                <w:kern w:val="0"/>
                <w:sz w:val="18"/>
                <w:szCs w:val="18"/>
                <w:shd w:fill="auto" w:val="clear"/>
                <w:lang w:val="ru-RU" w:eastAsia="ru-RU" w:bidi="ar-SA"/>
              </w:rPr>
              <w:t>Отводящий канал</w:t>
            </w:r>
          </w:p>
        </w:tc>
        <w:tc>
          <w:tcPr>
            <w:tcW w:w="225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0" w:hRule="atLeast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right="0" w:hanging="0"/>
              <w:contextualSpacing/>
              <w:jc w:val="center"/>
              <w:rPr>
                <w:rFonts w:eastAsia="Calibri"/>
                <w:sz w:val="18"/>
                <w:szCs w:val="18"/>
                <w:lang w:val="ru-RU"/>
              </w:rPr>
            </w:pPr>
            <w:r>
              <w:rPr>
                <w:rFonts w:eastAsia="Calibri"/>
                <w:sz w:val="18"/>
                <w:szCs w:val="18"/>
                <w:lang w:val="ru-RU"/>
              </w:rPr>
              <w:t>3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  <w:shd w:fill="auto" w:val="clear"/>
              </w:rPr>
              <w:t>Гергебильская ГЭС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  <w:shd w:fill="auto" w:val="clear"/>
              </w:rPr>
              <w:t>пос. Курми, Гергебильский район Республики Дагестан.</w:t>
            </w:r>
          </w:p>
        </w:tc>
        <w:tc>
          <w:tcPr>
            <w:tcW w:w="2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320" w:leader="none"/>
              </w:tabs>
              <w:bidi w:val="0"/>
              <w:spacing w:before="0" w:after="0"/>
              <w:ind w:left="0" w:right="0" w:hanging="0"/>
              <w:jc w:val="both"/>
              <w:rPr>
                <w:rFonts w:ascii="Times New Roman" w:hAnsi="Times New Roman" w:eastAsia="Times New Roman" w:cs="Times New Roman"/>
                <w:iCs/>
                <w:color w:val="auto"/>
                <w:kern w:val="0"/>
                <w:sz w:val="18"/>
                <w:szCs w:val="18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color w:val="000000"/>
                <w:kern w:val="0"/>
                <w:sz w:val="18"/>
                <w:szCs w:val="18"/>
                <w:shd w:fill="auto" w:val="clear"/>
                <w:lang w:val="ru-RU" w:eastAsia="ru-RU" w:bidi="ar-SA"/>
              </w:rPr>
              <w:t>Арочная плотина (Гребень плотины)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320" w:leader="none"/>
              </w:tabs>
              <w:bidi w:val="0"/>
              <w:spacing w:before="0" w:after="0"/>
              <w:ind w:left="0" w:right="0" w:hanging="0"/>
              <w:jc w:val="both"/>
              <w:rPr>
                <w:rFonts w:ascii="Times New Roman" w:hAnsi="Times New Roman" w:eastAsia="Times New Roman" w:cs="Times New Roman"/>
                <w:iCs/>
                <w:color w:val="auto"/>
                <w:kern w:val="0"/>
                <w:sz w:val="18"/>
                <w:szCs w:val="18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color w:val="000000"/>
                <w:kern w:val="0"/>
                <w:sz w:val="18"/>
                <w:szCs w:val="18"/>
                <w:shd w:fill="auto" w:val="clear"/>
                <w:lang w:val="ru-RU" w:eastAsia="ru-RU" w:bidi="ar-SA"/>
              </w:rPr>
              <w:t>Водоприемник (Площадка водоприемника)</w:t>
            </w:r>
          </w:p>
        </w:tc>
        <w:tc>
          <w:tcPr>
            <w:tcW w:w="225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1662" w:hRule="atLeast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contextualSpacing/>
              <w:jc w:val="center"/>
              <w:rPr>
                <w:rFonts w:eastAsia="Calibri"/>
                <w:sz w:val="18"/>
                <w:szCs w:val="18"/>
                <w:lang w:val="ru-RU"/>
              </w:rPr>
            </w:pPr>
            <w:r>
              <w:rPr>
                <w:rFonts w:eastAsia="Calibri"/>
                <w:sz w:val="18"/>
                <w:szCs w:val="18"/>
                <w:lang w:val="ru-RU"/>
              </w:rPr>
              <w:t>4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  <w:shd w:fill="auto" w:val="clear"/>
              </w:rPr>
              <w:t>Гунибская ГЭС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  <w:shd w:fill="auto" w:val="clear"/>
              </w:rPr>
              <w:t>расположена на р. Каракойсу (в 22 км от ее устья), в Республике Дагестан, в Гунибском районе</w:t>
            </w:r>
          </w:p>
        </w:tc>
        <w:tc>
          <w:tcPr>
            <w:tcW w:w="2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320" w:leader="none"/>
              </w:tabs>
              <w:bidi w:val="0"/>
              <w:spacing w:before="0" w:after="0"/>
              <w:ind w:left="0" w:right="0" w:hanging="0"/>
              <w:jc w:val="both"/>
              <w:rPr>
                <w:rFonts w:ascii="Times New Roman" w:hAnsi="Times New Roman" w:eastAsia="Times New Roman" w:cs="Times New Roman"/>
                <w:iCs/>
                <w:color w:val="auto"/>
                <w:kern w:val="0"/>
                <w:sz w:val="18"/>
                <w:szCs w:val="18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color w:val="000000"/>
                <w:kern w:val="0"/>
                <w:sz w:val="18"/>
                <w:szCs w:val="18"/>
                <w:shd w:fill="auto" w:val="clear"/>
                <w:lang w:val="ru-RU" w:eastAsia="ru-RU" w:bidi="ar-SA"/>
              </w:rPr>
              <w:t>Арочная плотина (Гребень плотины)Водоприемник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500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 w:eastAsia="Times New Roman" w:cs="Times New Roman"/>
                <w:iCs/>
                <w:color w:val="auto"/>
                <w:kern w:val="0"/>
                <w:sz w:val="18"/>
                <w:szCs w:val="18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color w:val="000000"/>
                <w:kern w:val="0"/>
                <w:sz w:val="18"/>
                <w:szCs w:val="18"/>
                <w:shd w:fill="auto" w:val="clear"/>
                <w:lang w:val="ru-RU" w:eastAsia="ru-RU" w:bidi="ar-SA"/>
              </w:rPr>
              <w:t>Водоприемник (Затворохранилище)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500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 w:eastAsia="Times New Roman" w:cs="Times New Roman"/>
                <w:iCs/>
                <w:color w:val="auto"/>
                <w:kern w:val="0"/>
                <w:sz w:val="18"/>
                <w:szCs w:val="18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color w:val="000000"/>
                <w:kern w:val="0"/>
                <w:sz w:val="18"/>
                <w:szCs w:val="18"/>
                <w:shd w:fill="auto" w:val="clear"/>
                <w:lang w:val="ru-RU" w:eastAsia="ru-RU" w:bidi="ar-SA"/>
              </w:rPr>
              <w:t>Территория гидроузла (Стелла)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lineRule="auto" w:line="240" w:before="0" w:after="0"/>
              <w:ind w:left="0" w:right="0" w:hanging="0"/>
              <w:jc w:val="both"/>
              <w:rPr>
                <w:rFonts w:ascii="Times New Roman" w:hAnsi="Times New Roman" w:eastAsia="Times New Roman" w:cs="Times New Roman"/>
                <w:iCs/>
                <w:color w:val="auto"/>
                <w:kern w:val="0"/>
                <w:sz w:val="18"/>
                <w:szCs w:val="18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color w:val="000000"/>
                <w:kern w:val="0"/>
                <w:sz w:val="18"/>
                <w:szCs w:val="18"/>
                <w:shd w:fill="auto" w:val="clear"/>
                <w:lang w:val="ru-RU" w:eastAsia="ru-RU" w:bidi="ar-SA"/>
              </w:rPr>
              <w:t>Территория гидроузла (Автодорога)Здание ГЭС</w:t>
            </w:r>
          </w:p>
        </w:tc>
        <w:tc>
          <w:tcPr>
            <w:tcW w:w="225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0" w:hRule="atLeast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0" w:right="0" w:hanging="0"/>
              <w:contextualSpacing/>
              <w:jc w:val="center"/>
              <w:rPr>
                <w:rFonts w:eastAsia="Calibri"/>
                <w:sz w:val="18"/>
                <w:szCs w:val="18"/>
                <w:lang w:val="ru-RU"/>
              </w:rPr>
            </w:pPr>
            <w:r>
              <w:rPr>
                <w:rFonts w:eastAsia="Calibri"/>
                <w:sz w:val="18"/>
                <w:szCs w:val="18"/>
                <w:lang w:val="ru-RU"/>
              </w:rPr>
              <w:t>5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Каскад Сулакских ГЭС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  <w:shd w:fill="auto" w:val="clear"/>
              </w:rPr>
              <w:t>Чирюртская ГЭС-1:</w:t>
            </w:r>
          </w:p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  <w:shd w:fill="auto" w:val="clear"/>
              </w:rPr>
              <w:t>р. Сулак, между селениями Верхний Чирюрт и Миатли Кизилюртовского района Республики Дагестан</w:t>
            </w:r>
          </w:p>
        </w:tc>
        <w:tc>
          <w:tcPr>
            <w:tcW w:w="242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320" w:leader="none"/>
              </w:tabs>
              <w:bidi w:val="0"/>
              <w:spacing w:before="0" w:after="0"/>
              <w:ind w:left="0" w:right="0" w:hanging="0"/>
              <w:jc w:val="both"/>
              <w:rPr>
                <w:rFonts w:ascii="Times New Roman" w:hAnsi="Times New Roman" w:eastAsia="Times New Roman" w:cs="Times New Roman"/>
                <w:iCs/>
                <w:color w:val="auto"/>
                <w:kern w:val="0"/>
                <w:sz w:val="18"/>
                <w:szCs w:val="18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color w:val="000000"/>
                <w:kern w:val="0"/>
                <w:sz w:val="18"/>
                <w:szCs w:val="18"/>
                <w:shd w:fill="auto" w:val="clear"/>
                <w:lang w:val="ru-RU" w:eastAsia="ru-RU" w:bidi="ar-SA"/>
              </w:rPr>
              <w:t>Территория ГЭС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320" w:leader="none"/>
              </w:tabs>
              <w:bidi w:val="0"/>
              <w:spacing w:before="0" w:after="0"/>
              <w:ind w:left="0" w:right="0" w:hanging="0"/>
              <w:jc w:val="both"/>
              <w:rPr>
                <w:rFonts w:ascii="Times New Roman" w:hAnsi="Times New Roman" w:eastAsia="Times New Roman" w:cs="Times New Roman"/>
                <w:iCs/>
                <w:color w:val="auto"/>
                <w:kern w:val="0"/>
                <w:sz w:val="18"/>
                <w:szCs w:val="18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color w:val="000000"/>
                <w:kern w:val="0"/>
                <w:sz w:val="18"/>
                <w:szCs w:val="18"/>
                <w:shd w:fill="auto" w:val="clear"/>
                <w:lang w:val="ru-RU" w:eastAsia="ru-RU" w:bidi="ar-SA"/>
              </w:rPr>
              <w:t>открытые территории</w:t>
            </w:r>
          </w:p>
        </w:tc>
        <w:tc>
          <w:tcPr>
            <w:tcW w:w="225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rFonts w:eastAsia="Calibri"/>
                <w:sz w:val="18"/>
                <w:szCs w:val="18"/>
                <w:lang w:val="ru-RU"/>
              </w:rPr>
            </w:pPr>
            <w:r>
              <w:rPr>
                <w:rFonts w:eastAsia="Calibri"/>
                <w:sz w:val="18"/>
                <w:szCs w:val="18"/>
                <w:lang w:val="ru-RU"/>
              </w:rPr>
              <w:t>6</w:t>
            </w:r>
          </w:p>
        </w:tc>
        <w:tc>
          <w:tcPr>
            <w:tcW w:w="155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  <w:shd w:fill="auto" w:val="clear"/>
              </w:rPr>
              <w:t>Чирюртская ГЭС-2:</w:t>
            </w:r>
          </w:p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  <w:shd w:fill="auto" w:val="clear"/>
              </w:rPr>
              <w:t>отводящий канал Чирюртской ГЭС-1, Кизилюртовский район, Республика Дагестан</w:t>
            </w:r>
          </w:p>
        </w:tc>
        <w:tc>
          <w:tcPr>
            <w:tcW w:w="242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00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320" w:leader="none"/>
              </w:tabs>
              <w:ind w:left="357" w:hang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5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right="0" w:hanging="0"/>
              <w:contextualSpacing/>
              <w:jc w:val="center"/>
              <w:rPr>
                <w:rFonts w:eastAsia="Calibri"/>
                <w:sz w:val="18"/>
                <w:szCs w:val="18"/>
                <w:lang w:val="ru-RU"/>
              </w:rPr>
            </w:pPr>
            <w:r>
              <w:rPr>
                <w:rFonts w:eastAsia="Calibri"/>
                <w:sz w:val="18"/>
                <w:szCs w:val="18"/>
                <w:lang w:val="ru-RU"/>
              </w:rPr>
              <w:t>7</w:t>
            </w:r>
          </w:p>
        </w:tc>
        <w:tc>
          <w:tcPr>
            <w:tcW w:w="155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  <w:shd w:fill="auto" w:val="clear"/>
              </w:rPr>
              <w:t>Гельбахская ГЭС:</w:t>
            </w:r>
          </w:p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  <w:shd w:fill="auto" w:val="clear"/>
              </w:rPr>
              <w:t>расположена на р. Сулак (в 112 км от ее устья), в Республике Дагестан</w:t>
            </w:r>
          </w:p>
        </w:tc>
        <w:tc>
          <w:tcPr>
            <w:tcW w:w="242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00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320" w:leader="none"/>
              </w:tabs>
              <w:ind w:left="357" w:hang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5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0" w:hRule="atLeast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right="0" w:hanging="0"/>
              <w:contextualSpacing/>
              <w:jc w:val="center"/>
              <w:rPr>
                <w:rFonts w:eastAsia="Calibri"/>
                <w:sz w:val="18"/>
                <w:szCs w:val="18"/>
                <w:lang w:val="ru-RU"/>
              </w:rPr>
            </w:pPr>
            <w:r>
              <w:rPr>
                <w:rFonts w:eastAsia="Calibri"/>
                <w:sz w:val="18"/>
                <w:szCs w:val="18"/>
                <w:lang w:val="ru-RU"/>
              </w:rPr>
              <w:t>8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Башенная ГЭС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расположена на реке Аргун (бассейн реки Терек) в Итум-Калинском районе, Чеченская Республика.</w:t>
            </w:r>
          </w:p>
        </w:tc>
        <w:tc>
          <w:tcPr>
            <w:tcW w:w="2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320" w:leader="none"/>
              </w:tabs>
              <w:suppressAutoHyphens w:val="true"/>
              <w:overflowPunct w:val="true"/>
              <w:bidi w:val="0"/>
              <w:spacing w:before="0" w:after="0"/>
              <w:ind w:left="0" w:right="0" w:hanging="0"/>
              <w:contextualSpacing/>
              <w:jc w:val="both"/>
              <w:rPr>
                <w:rFonts w:ascii="Times New Roman" w:hAnsi="Times New Roman" w:eastAsia="Times New Roman" w:cs="Times New Roman"/>
                <w:iCs/>
                <w:color w:val="auto"/>
                <w:kern w:val="0"/>
                <w:sz w:val="18"/>
                <w:szCs w:val="18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color w:val="000000"/>
                <w:kern w:val="0"/>
                <w:sz w:val="18"/>
                <w:szCs w:val="18"/>
                <w:shd w:fill="auto" w:val="clear"/>
                <w:lang w:val="ru-RU" w:eastAsia="ru-RU" w:bidi="ar-SA"/>
              </w:rPr>
              <w:t>Инженерные физические заграждения (территория ОРУ, периметральное ограждение)</w:t>
            </w:r>
          </w:p>
        </w:tc>
        <w:tc>
          <w:tcPr>
            <w:tcW w:w="225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tabs>
          <w:tab w:val="clear" w:pos="720"/>
          <w:tab w:val="left" w:pos="426" w:leader="none"/>
        </w:tabs>
        <w:jc w:val="both"/>
        <w:rPr>
          <w:b/>
          <w:bCs/>
          <w:color w:val="000000"/>
          <w:sz w:val="24"/>
          <w:szCs w:val="24"/>
          <w:shd w:fill="FFFFFF" w:val="clear"/>
        </w:rPr>
      </w:pPr>
      <w:r>
        <w:rPr>
          <w:b/>
          <w:bCs/>
          <w:color w:val="000000"/>
          <w:sz w:val="24"/>
          <w:szCs w:val="24"/>
          <w:shd w:fill="FFFFFF" w:val="clear"/>
        </w:rPr>
      </w:r>
    </w:p>
    <w:p>
      <w:pPr>
        <w:pStyle w:val="ListParagraph"/>
        <w:numPr>
          <w:ilvl w:val="1"/>
          <w:numId w:val="4"/>
        </w:numPr>
        <w:ind w:left="0" w:right="0" w:firstLine="709"/>
        <w:jc w:val="both"/>
        <w:rPr>
          <w:rFonts w:ascii="Times New Roman" w:hAnsi="Times New Roman" w:eastAsia="Calibri" w:cs="Times New Roman"/>
          <w:b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Calibri" w:cs="Times New Roman"/>
          <w:b/>
          <w:color w:val="auto"/>
          <w:kern w:val="0"/>
          <w:sz w:val="24"/>
          <w:szCs w:val="24"/>
          <w:lang w:val="ru-RU" w:eastAsia="ru-RU" w:bidi="ar-SA"/>
        </w:rPr>
        <w:t xml:space="preserve">Информация в отношении исполнения договора, </w:t>
      </w:r>
      <w:bookmarkStart w:id="9" w:name="_Hlk46492347"/>
      <w:r>
        <w:rPr>
          <w:rFonts w:eastAsia="Calibri" w:cs="Times New Roman"/>
          <w:b/>
          <w:color w:val="auto"/>
          <w:kern w:val="0"/>
          <w:sz w:val="24"/>
          <w:szCs w:val="24"/>
          <w:lang w:val="ru-RU" w:eastAsia="ru-RU" w:bidi="ar-SA"/>
        </w:rPr>
        <w:t xml:space="preserve">которая должна быть учтена при подготовке заявки </w:t>
      </w:r>
      <w:bookmarkEnd w:id="9"/>
      <w:r>
        <w:rPr>
          <w:rFonts w:eastAsia="Calibri" w:cs="Times New Roman"/>
          <w:b/>
          <w:color w:val="auto"/>
          <w:kern w:val="0"/>
          <w:sz w:val="24"/>
          <w:szCs w:val="24"/>
          <w:lang w:val="ru-RU" w:eastAsia="ru-RU" w:bidi="ar-SA"/>
        </w:rPr>
        <w:t xml:space="preserve">(в том числе перечень ресурсов, услуг и документов, предоставляемых заказчиком на этапе исполнения договора) </w:t>
      </w:r>
    </w:p>
    <w:p>
      <w:pPr>
        <w:pStyle w:val="ListParagraph"/>
        <w:numPr>
          <w:ilvl w:val="2"/>
          <w:numId w:val="4"/>
        </w:numPr>
        <w:ind w:left="0" w:right="0" w:firstLine="709"/>
        <w:jc w:val="both"/>
        <w:rPr/>
      </w:pPr>
      <w:r>
        <w:rPr/>
        <w:t xml:space="preserve">До начала производства работ Исполнитель обязан разработать </w:t>
      </w:r>
      <w:r>
        <w:rPr>
          <w:shd w:fill="auto" w:val="clear"/>
        </w:rPr>
        <w:t xml:space="preserve">проект производства работ на оказание услуг очистке территории от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shd w:fill="auto" w:val="clear"/>
          <w:em w:val="none"/>
        </w:rPr>
        <w:t>сорной растительности и в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ывозу мусора</w:t>
      </w:r>
      <w:r>
        <w:rPr/>
        <w:t xml:space="preserve">. Проект производства работ должен быть разработан с соблюдением требований действующего законодательства и в обязательном порядке подлежит согласованию с </w:t>
      </w:r>
      <w:r>
        <w:rPr>
          <w:b w:val="false"/>
          <w:bCs w:val="false"/>
          <w:iCs/>
          <w:sz w:val="24"/>
          <w:szCs w:val="24"/>
        </w:rPr>
        <w:t>филиалом ПАО «РусГидро» - «Дагестанский филиал».</w:t>
      </w:r>
    </w:p>
    <w:p>
      <w:pPr>
        <w:pStyle w:val="ListParagraph"/>
        <w:numPr>
          <w:ilvl w:val="2"/>
          <w:numId w:val="4"/>
        </w:numPr>
        <w:spacing w:before="709" w:after="0"/>
        <w:ind w:left="0" w:right="0" w:firstLine="709"/>
        <w:contextualSpacing/>
        <w:jc w:val="both"/>
        <w:rPr/>
      </w:pPr>
      <w:r>
        <w:rPr>
          <w:b w:val="false"/>
          <w:bCs w:val="false"/>
          <w:color w:val="111111"/>
        </w:rPr>
        <w:t>Допуск персонала исполнителя для оказания услуг должен осуществляться в соответствии с «Временным положением о допуске персонала строительно-монтажных организаций и командированного персонала к выполнению работ на объектах ПАО «РусГидро» (утв. приказом ОАО «РусГидро» № 736 от 13.11.2008 г.); Регламентом процесса «Допуск подрядных организаций на объекты ПАО «РусГидро» утвержденный приказом ПАО «РусГидро» от 28.04.2023 № 300 с обязательным оформлением необходимых нарядов-допусков.</w:t>
      </w:r>
    </w:p>
    <w:p>
      <w:pPr>
        <w:pStyle w:val="ListParagraph"/>
        <w:numPr>
          <w:ilvl w:val="2"/>
          <w:numId w:val="4"/>
        </w:numPr>
        <w:spacing w:before="709" w:after="0"/>
        <w:ind w:left="0" w:right="0" w:firstLine="709"/>
        <w:contextualSpacing/>
        <w:jc w:val="both"/>
        <w:rPr/>
      </w:pPr>
      <w:r>
        <w:rPr>
          <w:iCs/>
          <w:sz w:val="24"/>
          <w:szCs w:val="24"/>
        </w:rPr>
        <w:t>Услуги оказываются в таком объёме, который позволяет продолжать эксплуатацию объекта без закупки Заказчиком дополнительных объёмов каких-либо материалов, оборудования и услуг. Услуги считаются оказанными после приёмки услуг с оформлением отчётной документации со стороны Исполнителя.</w:t>
      </w:r>
    </w:p>
    <w:p>
      <w:pPr>
        <w:pStyle w:val="ListParagraph"/>
        <w:numPr>
          <w:ilvl w:val="2"/>
          <w:numId w:val="4"/>
        </w:numPr>
        <w:spacing w:before="709" w:after="0"/>
        <w:ind w:left="0" w:right="0" w:firstLine="709"/>
        <w:contextualSpacing/>
        <w:jc w:val="both"/>
        <w:rPr>
          <w:rFonts w:ascii="Times New Roman" w:hAnsi="Times New Roman" w:eastAsia="Calibri" w:cs="Times New Roman"/>
          <w:b w:val="false"/>
          <w:bCs w:val="false"/>
          <w:color w:val="111111"/>
          <w:kern w:val="0"/>
          <w:sz w:val="24"/>
          <w:szCs w:val="24"/>
          <w:lang w:val="ru-RU" w:eastAsia="ru-RU" w:bidi="ar-SA"/>
        </w:rPr>
      </w:pPr>
      <w:r>
        <w:rPr>
          <w:rFonts w:eastAsia="Calibri" w:cs="Times New Roman"/>
          <w:b w:val="false"/>
          <w:bCs w:val="false"/>
          <w:color w:val="111111"/>
          <w:kern w:val="0"/>
          <w:sz w:val="24"/>
          <w:szCs w:val="24"/>
          <w:lang w:val="ru-RU" w:eastAsia="ru-RU" w:bidi="ar-SA"/>
        </w:rPr>
        <w:t>Услуги, оказанные Исполнителем, считаются принятыми Заказчиком с момента подписания сторонами актов оказания услуг и отчетов об оказании услуг.</w:t>
      </w:r>
    </w:p>
    <w:p>
      <w:pPr>
        <w:pStyle w:val="ListParagraph"/>
        <w:numPr>
          <w:ilvl w:val="2"/>
          <w:numId w:val="4"/>
        </w:numPr>
        <w:spacing w:before="709" w:after="0"/>
        <w:ind w:left="0" w:right="0" w:firstLine="709"/>
        <w:contextualSpacing/>
        <w:jc w:val="both"/>
        <w:rPr>
          <w:rFonts w:ascii="Times New Roman" w:hAnsi="Times New Roman" w:eastAsia="Calibri" w:cs="Times New Roman"/>
          <w:b w:val="false"/>
          <w:bCs w:val="false"/>
          <w:color w:val="111111"/>
          <w:kern w:val="0"/>
          <w:sz w:val="24"/>
          <w:szCs w:val="24"/>
          <w:lang w:val="ru-RU" w:eastAsia="ru-RU" w:bidi="ar-SA"/>
        </w:rPr>
      </w:pPr>
      <w:r>
        <w:rPr>
          <w:rFonts w:eastAsia="Calibri" w:cs="Times New Roman"/>
          <w:b w:val="false"/>
          <w:bCs w:val="false"/>
          <w:color w:val="111111"/>
          <w:kern w:val="0"/>
          <w:sz w:val="24"/>
          <w:szCs w:val="24"/>
          <w:lang w:val="ru-RU" w:eastAsia="ru-RU" w:bidi="ar-SA"/>
        </w:rPr>
        <w:t>Исполнитель оформляет отчетную и исполнительную документации, по форме, указанной в Приложениях к договору.</w:t>
      </w:r>
    </w:p>
    <w:p>
      <w:pPr>
        <w:pStyle w:val="ListParagraph"/>
        <w:numPr>
          <w:ilvl w:val="2"/>
          <w:numId w:val="4"/>
        </w:numPr>
        <w:spacing w:before="709" w:after="0"/>
        <w:ind w:left="0" w:right="0" w:firstLine="709"/>
        <w:contextualSpacing/>
        <w:jc w:val="both"/>
        <w:rPr>
          <w:rFonts w:ascii="Times New Roman" w:hAnsi="Times New Roman" w:eastAsia="Calibri" w:cs="Times New Roman"/>
          <w:b w:val="false"/>
          <w:bCs w:val="false"/>
          <w:color w:val="111111"/>
          <w:kern w:val="0"/>
          <w:sz w:val="24"/>
          <w:szCs w:val="24"/>
          <w:lang w:val="ru-RU" w:eastAsia="ru-RU" w:bidi="ar-SA"/>
        </w:rPr>
      </w:pPr>
      <w:r>
        <w:rPr>
          <w:rFonts w:eastAsia="Calibri" w:cs="Times New Roman"/>
          <w:b w:val="false"/>
          <w:bCs w:val="false"/>
          <w:color w:val="111111"/>
          <w:kern w:val="0"/>
          <w:sz w:val="24"/>
          <w:szCs w:val="24"/>
          <w:lang w:val="ru-RU" w:eastAsia="ru-RU" w:bidi="ar-SA"/>
        </w:rPr>
        <w:t>Наличие транспортные средств, необходимых при выполнении услуг и право владения транспортных средств Исполнителем, подтверждаются документально по предварительной заявке Заказчика.</w:t>
      </w:r>
    </w:p>
    <w:p>
      <w:pPr>
        <w:pStyle w:val="ListParagraph"/>
        <w:numPr>
          <w:ilvl w:val="2"/>
          <w:numId w:val="4"/>
        </w:numPr>
        <w:spacing w:before="709" w:after="0"/>
        <w:ind w:left="0" w:right="0" w:firstLine="709"/>
        <w:contextualSpacing/>
        <w:jc w:val="both"/>
        <w:rPr>
          <w:rFonts w:ascii="Times New Roman" w:hAnsi="Times New Roman" w:eastAsia="Calibri" w:cs="Times New Roman"/>
          <w:b w:val="false"/>
          <w:bCs w:val="false"/>
          <w:color w:val="111111"/>
          <w:kern w:val="0"/>
          <w:sz w:val="24"/>
          <w:szCs w:val="24"/>
          <w:lang w:val="ru-RU" w:eastAsia="ru-RU" w:bidi="ar-SA"/>
        </w:rPr>
      </w:pPr>
      <w:bookmarkStart w:id="10" w:name="_Hlk482097612"/>
      <w:bookmarkEnd w:id="10"/>
      <w:r>
        <w:rPr>
          <w:rFonts w:eastAsia="Calibri" w:cs="Times New Roman"/>
          <w:b w:val="false"/>
          <w:bCs w:val="false"/>
          <w:color w:val="111111"/>
          <w:kern w:val="0"/>
          <w:sz w:val="24"/>
          <w:szCs w:val="24"/>
          <w:lang w:val="ru-RU" w:eastAsia="ru-RU" w:bidi="ar-SA"/>
        </w:rPr>
        <w:t>Наличие специального технологического оборудования и инвентаря, применяемого при выполнении работ.</w:t>
      </w:r>
    </w:p>
    <w:p>
      <w:pPr>
        <w:pStyle w:val="ListParagraph"/>
        <w:numPr>
          <w:ilvl w:val="2"/>
          <w:numId w:val="4"/>
        </w:numPr>
        <w:spacing w:before="709" w:after="0"/>
        <w:ind w:left="0" w:right="0" w:firstLine="709"/>
        <w:contextualSpacing/>
        <w:jc w:val="both"/>
        <w:rPr/>
      </w:pPr>
      <w:r>
        <w:rPr>
          <w:rFonts w:eastAsia="Calibri" w:cs="Times New Roman"/>
          <w:b w:val="false"/>
          <w:bCs w:val="false"/>
          <w:color w:val="111111"/>
          <w:kern w:val="0"/>
          <w:sz w:val="24"/>
          <w:szCs w:val="24"/>
          <w:lang w:val="ru-RU" w:eastAsia="ru-RU" w:bidi="ar-SA"/>
        </w:rPr>
        <w:t xml:space="preserve">В </w:t>
      </w:r>
      <w:r>
        <w:rPr/>
        <w:t>день проведения работ производить тщательный подбор зеленых отходов с одновременным выв</w:t>
      </w:r>
      <w:r>
        <w:rPr>
          <w:iCs/>
        </w:rPr>
        <w:t xml:space="preserve">озом и утилизацией (Класс опасности - V. Лицензия не требуется). Не допускать попадания и складирования зеленых отходов на прилегающую территорию, тротуары, бордюрные камни, дороги и другие территории, не входящие в объем проводимых работ. </w:t>
      </w:r>
    </w:p>
    <w:p>
      <w:pPr>
        <w:pStyle w:val="ListParagraph"/>
        <w:numPr>
          <w:ilvl w:val="2"/>
          <w:numId w:val="4"/>
        </w:numPr>
        <w:spacing w:before="709" w:after="0"/>
        <w:ind w:left="0" w:right="0" w:firstLine="709"/>
        <w:contextualSpacing/>
        <w:jc w:val="both"/>
        <w:rPr/>
      </w:pPr>
      <w:r>
        <w:rPr>
          <w:iCs/>
        </w:rPr>
        <w:t>Услуги выполняются согласно Заявок Заказчика.</w:t>
      </w:r>
    </w:p>
    <w:p>
      <w:pPr>
        <w:pStyle w:val="Normal"/>
        <w:numPr>
          <w:ilvl w:val="0"/>
          <w:numId w:val="0"/>
        </w:numPr>
        <w:ind w:left="0" w:hanging="0"/>
        <w:jc w:val="both"/>
        <w:rPr>
          <w:iCs/>
          <w:lang w:val="ru-RU"/>
        </w:rPr>
      </w:pPr>
      <w:r>
        <w:rPr>
          <w:iCs/>
          <w:lang w:val="ru-RU"/>
        </w:rPr>
      </w:r>
    </w:p>
    <w:p>
      <w:pPr>
        <w:pStyle w:val="ListParagraph"/>
        <w:widowControl/>
        <w:numPr>
          <w:ilvl w:val="1"/>
          <w:numId w:val="4"/>
        </w:numPr>
        <w:suppressAutoHyphens w:val="true"/>
        <w:bidi w:val="0"/>
        <w:spacing w:lineRule="auto" w:line="240" w:before="0" w:after="0"/>
        <w:ind w:left="680" w:right="0" w:hanging="0"/>
        <w:contextualSpacing/>
        <w:jc w:val="both"/>
        <w:rPr>
          <w:rFonts w:ascii="Times New Roman" w:hAnsi="Times New Roman" w:eastAsia="Calibri" w:cs="Times New Roman"/>
          <w:b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Calibri" w:cs="Times New Roman"/>
          <w:b/>
          <w:color w:val="auto"/>
          <w:kern w:val="0"/>
          <w:sz w:val="24"/>
          <w:szCs w:val="24"/>
          <w:lang w:val="ru-RU" w:eastAsia="ru-RU" w:bidi="ar-SA"/>
        </w:rPr>
        <w:t>Требования к материально техническому оснащению:</w:t>
      </w:r>
    </w:p>
    <w:p>
      <w:pPr>
        <w:pStyle w:val="ListParagraph"/>
        <w:numPr>
          <w:ilvl w:val="0"/>
          <w:numId w:val="0"/>
        </w:numPr>
        <w:ind w:left="0" w:hanging="0"/>
        <w:jc w:val="both"/>
        <w:rPr>
          <w:highlight w:val="none"/>
          <w:shd w:fill="auto" w:val="clear"/>
        </w:rPr>
      </w:pPr>
      <w:r>
        <w:rPr>
          <w:b/>
          <w:bCs/>
          <w:iCs/>
          <w:shd w:fill="auto" w:val="clear"/>
        </w:rPr>
        <w:t xml:space="preserve">Таблица 2. Перечень специализированной техники </w:t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307"/>
        <w:gridCol w:w="4226"/>
        <w:gridCol w:w="2388"/>
      </w:tblGrid>
      <w:tr>
        <w:trPr/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20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rPr/>
            </w:pPr>
            <w:r>
              <w:rPr>
                <w:b/>
                <w:bCs/>
                <w:sz w:val="18"/>
                <w:szCs w:val="18"/>
                <w:shd w:fill="auto" w:val="clear"/>
                <w:lang w:val="ru-RU"/>
              </w:rPr>
              <w:t>Наименование</w:t>
            </w:r>
          </w:p>
        </w:tc>
        <w:tc>
          <w:tcPr>
            <w:tcW w:w="4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20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rPr/>
            </w:pPr>
            <w:r>
              <w:rPr>
                <w:b/>
                <w:bCs/>
                <w:sz w:val="18"/>
                <w:szCs w:val="18"/>
                <w:shd w:fill="auto" w:val="clear"/>
                <w:lang w:val="ru-RU"/>
              </w:rPr>
              <w:t>Характеристика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0"/>
              <w:widowControl w:val="false"/>
              <w:numPr>
                <w:ilvl w:val="0"/>
                <w:numId w:val="0"/>
              </w:numPr>
              <w:suppressLineNumbers/>
              <w:bidi w:val="0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b/>
                <w:bCs/>
                <w:sz w:val="18"/>
                <w:szCs w:val="18"/>
                <w:shd w:fill="auto" w:val="clear"/>
                <w:lang w:val="ru-RU"/>
              </w:rPr>
              <w:t>Минимальное количество (не менее)</w:t>
            </w:r>
          </w:p>
        </w:tc>
      </w:tr>
      <w:tr>
        <w:trPr/>
        <w:tc>
          <w:tcPr>
            <w:tcW w:w="330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center"/>
              <w:rPr/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shd w:fill="auto" w:val="clear"/>
                <w:em w:val="none"/>
                <w:lang w:val="ru-RU"/>
              </w:rPr>
              <w:t>А</w:t>
            </w: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sz w:val="18"/>
                <w:szCs w:val="18"/>
                <w:u w:val="none"/>
                <w:em w:val="none"/>
              </w:rPr>
              <w:t>втомобиль самосвал</w:t>
            </w:r>
          </w:p>
        </w:tc>
        <w:tc>
          <w:tcPr>
            <w:tcW w:w="422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center"/>
              <w:rPr/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shd w:fill="auto" w:val="clear"/>
                <w:em w:val="none"/>
                <w:lang w:val="ru-RU"/>
              </w:rPr>
              <w:t>грузоподъемность: до 15 т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0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rPr/>
            </w:pPr>
            <w:r>
              <w:rPr>
                <w:sz w:val="18"/>
                <w:szCs w:val="18"/>
                <w:shd w:fill="auto" w:val="clear"/>
                <w:lang w:val="ru-RU"/>
              </w:rPr>
              <w:t>1</w:t>
            </w:r>
          </w:p>
        </w:tc>
      </w:tr>
      <w:tr>
        <w:trPr/>
        <w:tc>
          <w:tcPr>
            <w:tcW w:w="330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center"/>
              <w:rPr/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shd w:fill="auto" w:val="clear"/>
                <w:em w:val="none"/>
                <w:lang w:val="ru-RU"/>
              </w:rPr>
              <w:t>А</w:t>
            </w: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em w:val="none"/>
              </w:rPr>
              <w:t>втомобиль самосвал</w:t>
            </w:r>
          </w:p>
        </w:tc>
        <w:tc>
          <w:tcPr>
            <w:tcW w:w="422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center"/>
              <w:rPr/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shd w:fill="auto" w:val="clear"/>
                <w:em w:val="none"/>
                <w:lang w:val="ru-RU"/>
              </w:rPr>
              <w:t>грузоподъемность: до 10 т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0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rPr/>
            </w:pPr>
            <w:r>
              <w:rPr>
                <w:sz w:val="18"/>
                <w:szCs w:val="18"/>
                <w:shd w:fill="auto" w:val="clear"/>
                <w:lang w:val="ru-RU"/>
              </w:rPr>
              <w:t>1</w:t>
            </w:r>
          </w:p>
        </w:tc>
      </w:tr>
      <w:tr>
        <w:trPr/>
        <w:tc>
          <w:tcPr>
            <w:tcW w:w="330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center"/>
              <w:rPr/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shd w:fill="auto" w:val="clear"/>
                <w:em w:val="none"/>
                <w:lang w:val="ru-RU"/>
              </w:rPr>
              <w:t>Э</w:t>
            </w: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sz w:val="18"/>
                <w:szCs w:val="18"/>
                <w:u w:val="none"/>
                <w:em w:val="none"/>
              </w:rPr>
              <w:t>кскаватор</w:t>
            </w:r>
          </w:p>
        </w:tc>
        <w:tc>
          <w:tcPr>
            <w:tcW w:w="422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center"/>
              <w:rPr/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shd w:fill="auto" w:val="clear"/>
                <w:em w:val="none"/>
                <w:lang w:val="ru-RU"/>
              </w:rPr>
              <w:t>емкостью ковша до 0,5 м3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0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rPr/>
            </w:pPr>
            <w:r>
              <w:rPr>
                <w:sz w:val="18"/>
                <w:szCs w:val="18"/>
                <w:shd w:fill="auto" w:val="clear"/>
                <w:lang w:val="ru-RU"/>
              </w:rPr>
              <w:t>1</w:t>
            </w:r>
          </w:p>
        </w:tc>
      </w:tr>
      <w:tr>
        <w:trPr/>
        <w:tc>
          <w:tcPr>
            <w:tcW w:w="330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center"/>
              <w:rPr/>
            </w:pPr>
            <w:r>
              <w:rPr>
                <w:sz w:val="18"/>
                <w:szCs w:val="18"/>
              </w:rPr>
              <w:t>Плав средство</w:t>
            </w:r>
          </w:p>
        </w:tc>
        <w:tc>
          <w:tcPr>
            <w:tcW w:w="422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ind w:left="0" w:right="0" w:hanging="0"/>
              <w:jc w:val="center"/>
              <w:rPr/>
            </w:pP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18"/>
                <w:u w:val="none"/>
                <w:shd w:fill="auto" w:val="clear"/>
                <w:em w:val="none"/>
                <w:lang w:val="ru-RU" w:eastAsia="ru-RU" w:bidi="ar-SA"/>
              </w:rPr>
              <w:t>см. п. 1.7.4 настоящих ТТ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0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rPr/>
            </w:pPr>
            <w:r>
              <w:rPr>
                <w:sz w:val="18"/>
                <w:szCs w:val="18"/>
              </w:rPr>
              <w:t>1</w:t>
            </w:r>
          </w:p>
        </w:tc>
      </w:tr>
    </w:tbl>
    <w:p>
      <w:pPr>
        <w:pStyle w:val="Heading3"/>
        <w:numPr>
          <w:ilvl w:val="0"/>
          <w:numId w:val="0"/>
        </w:numPr>
        <w:spacing w:before="0" w:after="0"/>
        <w:ind w:left="0" w:right="0" w:hanging="0"/>
        <w:jc w:val="both"/>
        <w:rPr>
          <w:rFonts w:ascii="Times New Roman" w:hAnsi="Times New Roman"/>
          <w:b w:val="false"/>
          <w:bCs w:val="false"/>
          <w:color w:val="111111"/>
        </w:rPr>
      </w:pPr>
      <w:r>
        <w:rPr>
          <w:b w:val="false"/>
          <w:bCs w:val="false"/>
          <w:color w:val="111111"/>
          <w:shd w:fill="auto" w:val="clear"/>
          <w:lang w:val="ru-RU"/>
        </w:rPr>
        <w:t>Транспортные средств</w:t>
      </w:r>
      <w:r>
        <w:rPr>
          <w:b w:val="false"/>
          <w:bCs w:val="false"/>
          <w:color w:val="111111"/>
          <w:shd w:fill="auto" w:val="clear"/>
          <w:lang w:val="en-US"/>
        </w:rPr>
        <w:t xml:space="preserve">а </w:t>
      </w:r>
      <w:r>
        <w:rPr>
          <w:b w:val="false"/>
          <w:bCs w:val="false"/>
          <w:color w:val="111111"/>
          <w:shd w:fill="auto" w:val="clear"/>
          <w:lang w:val="ru-RU"/>
        </w:rPr>
        <w:t>могут</w:t>
      </w:r>
      <w:r>
        <w:rPr>
          <w:b w:val="false"/>
          <w:bCs w:val="false"/>
          <w:color w:val="111111"/>
          <w:shd w:fill="auto" w:val="clear"/>
        </w:rPr>
        <w:t xml:space="preserve"> быть на любом праве владения на правах собственности /аренды/ лизинга /ином законном праве владения. Исполнитель должен иметь в наличии следующие документы:</w:t>
      </w:r>
    </w:p>
    <w:p>
      <w:pPr>
        <w:pStyle w:val="Heading3"/>
        <w:numPr>
          <w:ilvl w:val="0"/>
          <w:numId w:val="5"/>
        </w:numPr>
        <w:spacing w:before="0" w:after="0"/>
        <w:ind w:left="0" w:hanging="0"/>
        <w:jc w:val="both"/>
        <w:rPr/>
      </w:pPr>
      <w:r>
        <w:rPr>
          <w:b w:val="false"/>
          <w:bCs w:val="false"/>
          <w:color w:val="111111"/>
        </w:rPr>
        <w:t xml:space="preserve">паспорт транспортного средства (ПТС) </w:t>
      </w:r>
    </w:p>
    <w:p>
      <w:pPr>
        <w:pStyle w:val="Heading3"/>
        <w:numPr>
          <w:ilvl w:val="0"/>
          <w:numId w:val="5"/>
        </w:numPr>
        <w:spacing w:before="0" w:after="0"/>
        <w:ind w:left="0" w:hanging="0"/>
        <w:jc w:val="both"/>
        <w:rPr/>
      </w:pPr>
      <w:r>
        <w:rPr>
          <w:b w:val="false"/>
          <w:bCs w:val="false"/>
          <w:color w:val="111111"/>
        </w:rPr>
        <w:t>копия договора аренды (в случае владения по договору аренды)</w:t>
      </w:r>
    </w:p>
    <w:p>
      <w:pPr>
        <w:pStyle w:val="Heading3"/>
        <w:numPr>
          <w:ilvl w:val="0"/>
          <w:numId w:val="5"/>
        </w:numPr>
        <w:spacing w:before="0" w:after="0"/>
        <w:ind w:left="0" w:hanging="0"/>
        <w:jc w:val="both"/>
        <w:rPr/>
      </w:pPr>
      <w:r>
        <w:rPr>
          <w:b w:val="false"/>
          <w:bCs w:val="false"/>
          <w:color w:val="111111"/>
        </w:rPr>
        <w:t>копия договора лизинга (в случае владения по договору лизинга)</w:t>
      </w:r>
    </w:p>
    <w:p>
      <w:pPr>
        <w:pStyle w:val="Heading3"/>
        <w:numPr>
          <w:ilvl w:val="0"/>
          <w:numId w:val="5"/>
        </w:numPr>
        <w:spacing w:before="0" w:after="0"/>
        <w:ind w:left="0" w:hanging="0"/>
        <w:jc w:val="both"/>
        <w:rPr/>
      </w:pPr>
      <w:r>
        <w:rPr>
          <w:b w:val="false"/>
          <w:bCs w:val="false"/>
          <w:color w:val="111111"/>
        </w:rPr>
        <w:t>копия иного документа, подтверждающего законное право владения (в случае владения на ином основании).</w:t>
      </w:r>
    </w:p>
    <w:p>
      <w:pPr>
        <w:pStyle w:val="Heading3"/>
        <w:numPr>
          <w:ilvl w:val="0"/>
          <w:numId w:val="0"/>
        </w:numPr>
        <w:spacing w:before="0" w:after="0"/>
        <w:ind w:left="0" w:hanging="0"/>
        <w:jc w:val="both"/>
        <w:rPr/>
      </w:pPr>
      <w:r>
        <w:rPr>
          <w:rFonts w:eastAsia="Calibri"/>
          <w:b w:val="false"/>
          <w:bCs w:val="false"/>
          <w:color w:val="111111"/>
          <w:shd w:fill="auto" w:val="clear"/>
        </w:rPr>
        <w:t>Вышеперечисленные документы подтверждаются оригиналами по предварительной заявке Заказчика.</w:t>
      </w:r>
    </w:p>
    <w:p>
      <w:pPr>
        <w:pStyle w:val="Normal"/>
        <w:numPr>
          <w:ilvl w:val="0"/>
          <w:numId w:val="0"/>
        </w:numPr>
        <w:ind w:left="0" w:hanging="0"/>
        <w:jc w:val="both"/>
        <w:rPr>
          <w:rFonts w:eastAsia="Calibri"/>
          <w:b w:val="false"/>
          <w:bCs w:val="false"/>
          <w:color w:val="111111"/>
        </w:rPr>
      </w:pPr>
      <w:r>
        <w:rPr>
          <w:rFonts w:eastAsia="Calibri"/>
          <w:b w:val="false"/>
          <w:bCs w:val="false"/>
          <w:color w:val="111111"/>
        </w:rPr>
      </w:r>
    </w:p>
    <w:p>
      <w:pPr>
        <w:pStyle w:val="ListParagraph"/>
        <w:numPr>
          <w:ilvl w:val="0"/>
          <w:numId w:val="0"/>
        </w:numPr>
        <w:ind w:left="0" w:hanging="0"/>
        <w:jc w:val="both"/>
        <w:rPr>
          <w:sz w:val="24"/>
          <w:szCs w:val="24"/>
        </w:rPr>
      </w:pPr>
      <w:r>
        <w:rPr>
          <w:b/>
          <w:bCs/>
          <w:iCs/>
          <w:sz w:val="24"/>
          <w:szCs w:val="24"/>
          <w:shd w:fill="auto" w:val="clear"/>
        </w:rPr>
        <w:t>Таблица 3. Средства малой механизации</w:t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960"/>
        <w:gridCol w:w="4960"/>
      </w:tblGrid>
      <w:tr>
        <w:trPr/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20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shd w:fill="auto" w:val="clear"/>
                <w:lang w:val="ru-RU"/>
              </w:rPr>
              <w:t>Наименование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0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shd w:fill="auto" w:val="clear"/>
                <w:lang w:val="ru-RU"/>
              </w:rPr>
              <w:t>Минимальное количество ( не менее)</w:t>
            </w:r>
          </w:p>
        </w:tc>
      </w:tr>
      <w:tr>
        <w:trPr/>
        <w:tc>
          <w:tcPr>
            <w:tcW w:w="496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shd w:fill="auto" w:val="clear"/>
                <w:em w:val="none"/>
                <w:lang w:val="ru-RU"/>
              </w:rPr>
              <w:t>Газонокосилки моторные</w:t>
            </w:r>
          </w:p>
        </w:tc>
        <w:tc>
          <w:tcPr>
            <w:tcW w:w="4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0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b w:val="false"/>
                <w:bCs w:val="false"/>
                <w:sz w:val="18"/>
                <w:szCs w:val="18"/>
                <w:shd w:fill="auto" w:val="clear"/>
                <w:lang w:val="ru-RU"/>
              </w:rPr>
              <w:t>1</w:t>
            </w:r>
          </w:p>
        </w:tc>
      </w:tr>
      <w:tr>
        <w:trPr/>
        <w:tc>
          <w:tcPr>
            <w:tcW w:w="496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left="0" w:right="0" w:hanging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b w:val="false"/>
                <w:bCs w:val="false"/>
                <w:sz w:val="18"/>
                <w:szCs w:val="18"/>
              </w:rPr>
              <w:t>Носилки (для переноски мусора)</w:t>
            </w:r>
          </w:p>
        </w:tc>
        <w:tc>
          <w:tcPr>
            <w:tcW w:w="4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0"/>
              <w:widowControl w:val="false"/>
              <w:numPr>
                <w:ilvl w:val="0"/>
                <w:numId w:val="0"/>
              </w:numPr>
              <w:ind w:left="0" w:right="0" w:hanging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b w:val="false"/>
                <w:bCs w:val="false"/>
                <w:sz w:val="18"/>
                <w:szCs w:val="18"/>
              </w:rPr>
              <w:t>1</w:t>
            </w:r>
          </w:p>
        </w:tc>
      </w:tr>
    </w:tbl>
    <w:p>
      <w:pPr>
        <w:pStyle w:val="ListParagraph"/>
        <w:ind w:left="0" w:firstLine="709"/>
        <w:jc w:val="both"/>
        <w:rPr>
          <w:b/>
          <w:bCs/>
          <w:iCs/>
        </w:rPr>
      </w:pPr>
      <w:r>
        <w:rPr>
          <w:b/>
          <w:bCs/>
          <w:iCs/>
        </w:rPr>
      </w:r>
    </w:p>
    <w:p>
      <w:pPr>
        <w:pStyle w:val="ListParagraph"/>
        <w:ind w:left="0" w:firstLine="709"/>
        <w:jc w:val="both"/>
        <w:rPr>
          <w:b/>
          <w:bCs/>
          <w:iCs/>
        </w:rPr>
      </w:pPr>
      <w:r>
        <w:rPr/>
        <w:t xml:space="preserve">Иные материально-технические ресурсы: </w:t>
      </w:r>
    </w:p>
    <w:p>
      <w:pPr>
        <w:pStyle w:val="ListParagraph"/>
        <w:ind w:left="0" w:firstLine="709"/>
        <w:jc w:val="both"/>
        <w:rPr>
          <w:highlight w:val="none"/>
          <w:shd w:fill="auto" w:val="clear"/>
        </w:rPr>
      </w:pPr>
      <w:r>
        <w:rPr>
          <w:shd w:fill="auto" w:val="clear"/>
        </w:rPr>
        <w:t xml:space="preserve">- </w:t>
      </w:r>
      <w:r>
        <w:rPr>
          <w:shd w:fill="auto" w:val="clear"/>
          <w:lang w:val="ru-RU"/>
        </w:rPr>
        <w:t>ядохимикаты для уничтожения сорняков. Характеристики средств предварительно согласовываются с представителем Заказчика на объекте.</w:t>
      </w:r>
    </w:p>
    <w:p>
      <w:pPr>
        <w:pStyle w:val="ListParagraph"/>
        <w:ind w:left="0" w:hanging="0"/>
        <w:jc w:val="both"/>
        <w:rPr>
          <w:rFonts w:ascii="Times New Roman" w:hAnsi="Times New Roman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highlight w:val="none"/>
          <w:u w:val="none"/>
          <w:shd w:fill="auto" w:val="clear"/>
          <w:em w:val="non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u w:val="none"/>
          <w:shd w:fill="auto" w:val="clear"/>
          <w:em w:val="none"/>
        </w:rPr>
      </w:r>
    </w:p>
    <w:p>
      <w:pPr>
        <w:pStyle w:val="ListParagraph"/>
        <w:numPr>
          <w:ilvl w:val="0"/>
          <w:numId w:val="0"/>
        </w:numPr>
        <w:ind w:left="0" w:hanging="0"/>
        <w:jc w:val="both"/>
        <w:rPr>
          <w:highlight w:val="none"/>
          <w:shd w:fill="auto" w:val="clear"/>
        </w:rPr>
      </w:pPr>
      <w:r>
        <w:rPr>
          <w:b w:val="false"/>
          <w:bCs w:val="false"/>
          <w:iCs/>
          <w:shd w:fill="auto" w:val="clear"/>
        </w:rPr>
        <w:t>*</w:t>
      </w:r>
      <w:r>
        <w:rPr>
          <w:b w:val="false"/>
          <w:bCs w:val="false"/>
          <w:iCs/>
          <w:shd w:fill="auto" w:val="clear"/>
          <w:lang w:val="ru-RU"/>
        </w:rPr>
        <w:t>Средства матери</w:t>
      </w:r>
      <w:r>
        <w:rPr>
          <w:b w:val="false"/>
          <w:bCs w:val="false"/>
          <w:iCs/>
          <w:sz w:val="24"/>
          <w:szCs w:val="24"/>
          <w:shd w:fill="auto" w:val="clear"/>
          <w:lang w:val="ru-RU"/>
        </w:rPr>
        <w:t xml:space="preserve">ально-технического обеспечения, материально-технических ресурсов </w:t>
      </w:r>
      <w:r>
        <w:rPr>
          <w:b w:val="false"/>
          <w:bCs w:val="false"/>
          <w:iCs/>
          <w:sz w:val="24"/>
          <w:szCs w:val="24"/>
          <w:shd w:fill="auto" w:val="clear"/>
        </w:rPr>
        <w:t xml:space="preserve">указаны в соответствии с условиями договора, </w:t>
      </w:r>
      <w:r>
        <w:rPr>
          <w:rFonts w:eastAsia="Times New Roman" w:cs="Times New Roman"/>
          <w:b w:val="false"/>
          <w:bCs w:val="false"/>
          <w:iCs/>
          <w:color w:val="000000"/>
          <w:kern w:val="0"/>
          <w:sz w:val="24"/>
          <w:szCs w:val="24"/>
          <w:shd w:fill="auto" w:val="clear"/>
          <w:lang w:val="ru-RU" w:eastAsia="ru-RU" w:bidi="ar-SA"/>
        </w:rPr>
        <w:t>заключенного</w:t>
      </w:r>
      <w:r>
        <w:rPr>
          <w:b w:val="false"/>
          <w:bCs w:val="false"/>
          <w:iCs/>
          <w:sz w:val="24"/>
          <w:szCs w:val="24"/>
          <w:shd w:fill="auto" w:val="clear"/>
        </w:rPr>
        <w:t xml:space="preserve"> между Заказчиком и </w:t>
      </w:r>
      <w:r>
        <w:rPr>
          <w:b w:val="false"/>
          <w:bCs w:val="false"/>
          <w:iCs/>
          <w:sz w:val="24"/>
          <w:szCs w:val="24"/>
          <w:shd w:fill="auto" w:val="clear"/>
          <w:lang w:val="ru-RU"/>
        </w:rPr>
        <w:t>филиалом ПАО "РусГидро" - "Дагестанский филиал"</w:t>
      </w:r>
      <w:r>
        <w:rPr>
          <w:b w:val="false"/>
          <w:bCs w:val="false"/>
          <w:iCs/>
          <w:sz w:val="24"/>
          <w:szCs w:val="24"/>
          <w:shd w:fill="auto" w:val="clear"/>
        </w:rPr>
        <w:t>. При оказании услуг, согласно настоящего Технического требования, возможно использование аналогичных средств механизации.</w:t>
      </w:r>
    </w:p>
    <w:p>
      <w:pPr>
        <w:pStyle w:val="ListParagraph"/>
        <w:numPr>
          <w:ilvl w:val="0"/>
          <w:numId w:val="0"/>
        </w:numPr>
        <w:ind w:left="0" w:hanging="0"/>
        <w:jc w:val="both"/>
        <w:rPr>
          <w:sz w:val="24"/>
          <w:szCs w:val="24"/>
          <w:highlight w:val="none"/>
          <w:shd w:fill="auto" w:val="clear"/>
        </w:rPr>
      </w:pPr>
      <w:r>
        <w:rPr>
          <w:sz w:val="24"/>
          <w:szCs w:val="24"/>
          <w:shd w:fill="auto" w:val="clear"/>
        </w:rPr>
      </w:r>
    </w:p>
    <w:p>
      <w:pPr>
        <w:pStyle w:val="Heading4"/>
        <w:keepNext w:val="true"/>
        <w:widowControl/>
        <w:numPr>
          <w:ilvl w:val="1"/>
          <w:numId w:val="4"/>
        </w:numPr>
        <w:bidi w:val="0"/>
        <w:spacing w:lineRule="auto" w:line="240" w:before="120" w:after="60"/>
        <w:ind w:left="680" w:right="0" w:hanging="0"/>
        <w:jc w:val="left"/>
        <w:rPr>
          <w:highlight w:val="none"/>
          <w:shd w:fill="auto" w:val="clear"/>
        </w:rPr>
      </w:pPr>
      <w:bookmarkStart w:id="11" w:name="_Toc146719875"/>
      <w:r>
        <w:rPr>
          <w:rFonts w:eastAsia="Calibri" w:cs="Times New Roman"/>
          <w:b/>
          <w:color w:val="000000"/>
          <w:kern w:val="0"/>
          <w:sz w:val="24"/>
          <w:szCs w:val="24"/>
          <w:shd w:fill="auto" w:val="clear"/>
          <w:lang w:val="ru-RU" w:eastAsia="ru-RU" w:bidi="ar-SA"/>
        </w:rPr>
        <w:t>Требования к количественному составу и квалификации персонала</w:t>
      </w:r>
      <w:bookmarkEnd w:id="11"/>
    </w:p>
    <w:p>
      <w:pPr>
        <w:pStyle w:val="Heading3"/>
        <w:numPr>
          <w:ilvl w:val="2"/>
          <w:numId w:val="4"/>
        </w:numPr>
        <w:spacing w:before="0" w:after="0"/>
        <w:ind w:left="0" w:right="0" w:firstLine="709"/>
        <w:jc w:val="both"/>
        <w:rPr>
          <w:highlight w:val="none"/>
          <w:shd w:fill="auto" w:val="clear"/>
        </w:rPr>
      </w:pPr>
      <w:r>
        <w:rPr>
          <w:rFonts w:eastAsia="Calibri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 xml:space="preserve">Исполнитель для проведения работ обязуется направить на объект для проведения работ персонал в количественном составе, необходимом для выполнения работ в объеме, указанном в настоящих технических требованиях. До проведения работ Исполнитель назначает лиц, ответственных за выполнение работ, с правом  подписи в акте-допуске и правами выдачи нарядов- допусков на выполняемые  работы по предварительному согласованию с представителем Заказчика на объекте (руководитель работ, производитель работ). </w:t>
      </w:r>
    </w:p>
    <w:p>
      <w:pPr>
        <w:pStyle w:val="Normal"/>
        <w:widowControl w:val="false"/>
        <w:numPr>
          <w:ilvl w:val="2"/>
          <w:numId w:val="4"/>
        </w:numPr>
        <w:tabs>
          <w:tab w:val="clear" w:pos="720"/>
          <w:tab w:val="left" w:pos="426" w:leader="none"/>
        </w:tabs>
        <w:bidi w:val="0"/>
        <w:spacing w:lineRule="auto" w:line="240" w:before="0" w:after="0"/>
        <w:ind w:left="0" w:right="0" w:firstLine="709"/>
        <w:jc w:val="both"/>
        <w:rPr>
          <w:highlight w:val="none"/>
          <w:shd w:fill="auto" w:val="clear"/>
        </w:rPr>
      </w:pPr>
      <w:r>
        <w:rPr>
          <w:rFonts w:eastAsia="Calibri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 xml:space="preserve"> </w:t>
      </w:r>
      <w:r>
        <w:rPr>
          <w:rFonts w:eastAsia="Calibri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>Исполнитель должен иметь достаточное для исполнения договора количество квалифицированного и аттестованного персонала на каждую единицу техники. Группа по электробезопасности не ниже II группы.</w:t>
      </w:r>
    </w:p>
    <w:p>
      <w:pPr>
        <w:pStyle w:val="Heading3"/>
        <w:numPr>
          <w:ilvl w:val="2"/>
          <w:numId w:val="4"/>
        </w:numPr>
        <w:spacing w:before="0" w:after="0"/>
        <w:ind w:left="0" w:right="0" w:firstLine="709"/>
        <w:jc w:val="both"/>
        <w:rPr>
          <w:highlight w:val="none"/>
          <w:shd w:fill="auto" w:val="clear"/>
        </w:rPr>
      </w:pPr>
      <w:r>
        <w:rPr>
          <w:rFonts w:eastAsia="Calibri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>Исполнитель допускается на объект, в соответствии с нормативно-правовыми актами по охране труда, Методике допуска персонала подрядных организаций к выполнению работ на объектах Общества, утвержденную приказом ПАО «РусГидро» от 04.02.2022 № 82 «Об утверждении Регламента процесса «Допуск персонала подрядных организаций на объекты ПАО «РусГидро», Инструкции о пропускном и внитриобъектовом режимах филиала ПАО «Русгидро».</w:t>
      </w:r>
    </w:p>
    <w:p>
      <w:pPr>
        <w:pStyle w:val="Heading3"/>
        <w:numPr>
          <w:ilvl w:val="2"/>
          <w:numId w:val="4"/>
        </w:numPr>
        <w:spacing w:before="0" w:after="0"/>
        <w:ind w:left="0" w:right="0" w:firstLine="709"/>
        <w:jc w:val="both"/>
        <w:rPr>
          <w:highlight w:val="none"/>
          <w:shd w:fill="auto" w:val="clear"/>
        </w:rPr>
      </w:pPr>
      <w:r>
        <w:rPr>
          <w:rFonts w:eastAsia="Calibri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>Услуги на объектах выполняются в соответствии со следующими требованиями:</w:t>
      </w:r>
    </w:p>
    <w:p>
      <w:pPr>
        <w:pStyle w:val="ListParagraph"/>
        <w:numPr>
          <w:ilvl w:val="0"/>
          <w:numId w:val="5"/>
        </w:numPr>
        <w:ind w:left="0" w:firstLine="709"/>
        <w:jc w:val="both"/>
        <w:rPr>
          <w:highlight w:val="none"/>
          <w:shd w:fill="auto" w:val="clear"/>
        </w:rPr>
      </w:pPr>
      <w:r>
        <w:rPr>
          <w:b w:val="false"/>
          <w:bCs w:val="false"/>
          <w:color w:val="000000"/>
          <w:shd w:fill="auto" w:val="clear"/>
        </w:rPr>
        <w:t>СТО РусГидро 02.01.80-2012 «Гидротехнические сооружения ГЭС и ГАЭС. Правила эксплуатации. Нормы и требования»,</w:t>
      </w:r>
    </w:p>
    <w:p>
      <w:pPr>
        <w:pStyle w:val="ListParagraph"/>
        <w:numPr>
          <w:ilvl w:val="0"/>
          <w:numId w:val="5"/>
        </w:numPr>
        <w:ind w:left="0" w:firstLine="709"/>
        <w:jc w:val="both"/>
        <w:rPr>
          <w:highlight w:val="none"/>
          <w:shd w:fill="auto" w:val="clear"/>
        </w:rPr>
      </w:pPr>
      <w:r>
        <w:rPr>
          <w:b w:val="false"/>
          <w:bCs w:val="false"/>
          <w:color w:val="000000"/>
          <w:shd w:fill="auto" w:val="clear"/>
        </w:rPr>
        <w:t xml:space="preserve">СТО РусГидро 05.02.126-2020 «Правила организации безопасного обслуживания, гидротехнических сооружений, гидросилового и гидромеханического оборудования гидроэлектростанций», </w:t>
      </w:r>
    </w:p>
    <w:p>
      <w:pPr>
        <w:pStyle w:val="ListParagraph"/>
        <w:numPr>
          <w:ilvl w:val="0"/>
          <w:numId w:val="5"/>
        </w:numPr>
        <w:ind w:left="0" w:firstLine="709"/>
        <w:jc w:val="both"/>
        <w:rPr>
          <w:highlight w:val="none"/>
          <w:shd w:fill="auto" w:val="clear"/>
        </w:rPr>
      </w:pPr>
      <w:r>
        <w:rPr>
          <w:b w:val="false"/>
          <w:bCs w:val="false"/>
          <w:color w:val="000000"/>
          <w:shd w:fill="auto" w:val="clear"/>
        </w:rPr>
        <w:t>СТО РусГидро 02.01.62 – 2012 ГИДРОЭЛЕКТРОСТАНЦИИ.РЕМОНТ И ТЕХНИЧЕСКОЕ ОБСЛУЖИВАНИЕ ОБОРУДОВАНИЯ, ЗДАНИЙ И СООРУЖЕНИЙ.ОРГАНИЗАЦИЯ ПРОИЗВОДСТВЕННЫХ ПРОЦЕССОВ. НОРМЫ И ТРЕБОВАНИЯ,</w:t>
      </w:r>
    </w:p>
    <w:p>
      <w:pPr>
        <w:pStyle w:val="ListParagraph"/>
        <w:numPr>
          <w:ilvl w:val="0"/>
          <w:numId w:val="5"/>
        </w:numPr>
        <w:ind w:left="0" w:firstLine="709"/>
        <w:jc w:val="both"/>
        <w:rPr>
          <w:highlight w:val="none"/>
          <w:shd w:fill="auto" w:val="clear"/>
        </w:rPr>
      </w:pPr>
      <w:r>
        <w:rPr>
          <w:b w:val="false"/>
          <w:bCs w:val="false"/>
          <w:color w:val="000000"/>
          <w:shd w:fill="auto" w:val="clear"/>
        </w:rPr>
        <w:t xml:space="preserve">Приказ от 15 декабря 2020 г. N 903н «Об утверждении правил по охране труда при эксплуатации электроустановок», </w:t>
      </w:r>
    </w:p>
    <w:p>
      <w:pPr>
        <w:pStyle w:val="ListParagraph"/>
        <w:numPr>
          <w:ilvl w:val="0"/>
          <w:numId w:val="5"/>
        </w:numPr>
        <w:ind w:left="0" w:firstLine="709"/>
        <w:jc w:val="both"/>
        <w:rPr>
          <w:highlight w:val="none"/>
          <w:shd w:fill="auto" w:val="clear"/>
        </w:rPr>
      </w:pPr>
      <w:r>
        <w:rPr>
          <w:b w:val="false"/>
          <w:bCs w:val="false"/>
          <w:color w:val="000000"/>
          <w:shd w:fill="auto" w:val="clear"/>
        </w:rPr>
        <w:t>Национальный стандарт РФ ГОСТ Р 55260.1.7-2013,</w:t>
      </w:r>
    </w:p>
    <w:p>
      <w:pPr>
        <w:pStyle w:val="ListParagraph"/>
        <w:numPr>
          <w:ilvl w:val="0"/>
          <w:numId w:val="5"/>
        </w:numPr>
        <w:ind w:left="0" w:firstLine="709"/>
        <w:jc w:val="both"/>
        <w:rPr>
          <w:highlight w:val="none"/>
          <w:shd w:fill="auto" w:val="clear"/>
        </w:rPr>
      </w:pPr>
      <w:r>
        <w:rPr>
          <w:b w:val="false"/>
          <w:bCs w:val="false"/>
          <w:color w:val="000000"/>
          <w:shd w:fill="auto" w:val="clear"/>
        </w:rPr>
        <w:t xml:space="preserve">Приказ Минтруда России от 27.11.2020 N 835н "Об утверждении Правил по охране труда при работе с инструментом и приспособлениями" (Зарегистрировано в Минюсте России 11.12.2020 N 61411), </w:t>
      </w:r>
    </w:p>
    <w:p>
      <w:pPr>
        <w:pStyle w:val="ListParagraph"/>
        <w:numPr>
          <w:ilvl w:val="0"/>
          <w:numId w:val="5"/>
        </w:numPr>
        <w:ind w:left="0" w:firstLine="709"/>
        <w:jc w:val="both"/>
        <w:rPr>
          <w:highlight w:val="none"/>
          <w:shd w:fill="auto" w:val="clear"/>
        </w:rPr>
      </w:pPr>
      <w:r>
        <w:rPr>
          <w:b w:val="false"/>
          <w:bCs w:val="false"/>
          <w:color w:val="000000"/>
          <w:shd w:fill="auto" w:val="clear"/>
        </w:rPr>
        <w:t>Федеральный закон от 22.07.2008 № 123-ФЗ «Технический регламент о требованиях пожарной безопасности»,</w:t>
      </w:r>
    </w:p>
    <w:p>
      <w:pPr>
        <w:pStyle w:val="ListParagraph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b w:val="false"/>
          <w:bCs w:val="false"/>
          <w:color w:val="000000"/>
          <w:highlight w:val="none"/>
          <w:shd w:fill="auto" w:val="clear"/>
        </w:rPr>
      </w:pPr>
      <w:r>
        <w:rPr>
          <w:b w:val="false"/>
          <w:bCs w:val="false"/>
          <w:color w:val="000000"/>
          <w:shd w:fill="auto" w:val="clear"/>
        </w:rPr>
        <w:t>Федеральный закон от 24.06.1998 № 89-ФЗ «Об отходах производства и потребления»,</w:t>
      </w:r>
    </w:p>
    <w:p>
      <w:pPr>
        <w:pStyle w:val="ListParagraph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b w:val="false"/>
          <w:bCs w:val="false"/>
          <w:color w:val="000000"/>
          <w:highlight w:val="none"/>
          <w:shd w:fill="auto" w:val="clear"/>
        </w:rPr>
      </w:pPr>
      <w:r>
        <w:rPr>
          <w:b w:val="false"/>
          <w:bCs w:val="false"/>
          <w:color w:val="000000"/>
          <w:shd w:fill="auto" w:val="clear"/>
        </w:rPr>
        <w:t>Приказ Минтруда России от 16.11.2020 N 782н. «Об утверждении Правил по охране труда при работе на высоте»,</w:t>
      </w:r>
    </w:p>
    <w:p>
      <w:pPr>
        <w:pStyle w:val="ListParagraph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b w:val="false"/>
          <w:bCs w:val="false"/>
          <w:color w:val="000000"/>
          <w:highlight w:val="none"/>
          <w:shd w:fill="auto" w:val="clear"/>
        </w:rPr>
      </w:pPr>
      <w:r>
        <w:rPr>
          <w:b w:val="false"/>
          <w:bCs w:val="false"/>
          <w:color w:val="000000"/>
          <w:shd w:fill="auto" w:val="clear"/>
        </w:rPr>
        <w:t xml:space="preserve">Федеральный закон от 10.01.2002 № 7-ФЗ «Об охране окружающей среды», Федерального закона от 30.03.1999 №52-ФЗ «О санитарно-эпидемиологическом благополучии населения», </w:t>
      </w:r>
    </w:p>
    <w:p>
      <w:pPr>
        <w:pStyle w:val="ListParagraph"/>
        <w:numPr>
          <w:ilvl w:val="0"/>
          <w:numId w:val="5"/>
        </w:numPr>
        <w:spacing w:before="709" w:after="0"/>
        <w:ind w:left="0" w:right="0" w:firstLine="709"/>
        <w:contextualSpacing/>
        <w:jc w:val="both"/>
        <w:rPr>
          <w:rFonts w:ascii="Times New Roman" w:hAnsi="Times New Roman" w:eastAsia="Calibri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</w:pPr>
      <w:r>
        <w:rPr>
          <w:rFonts w:eastAsia="Calibri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>Федеральный закон "О лицензировании отдельных видов деятельности" от 04.05.2011 N 99-ФЗ,</w:t>
      </w:r>
    </w:p>
    <w:p>
      <w:pPr>
        <w:pStyle w:val="Normal"/>
        <w:ind w:firstLine="709"/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</w:r>
    </w:p>
    <w:p>
      <w:pPr>
        <w:pStyle w:val="ListParagraph"/>
        <w:widowControl w:val="false"/>
        <w:numPr>
          <w:ilvl w:val="1"/>
          <w:numId w:val="4"/>
        </w:numPr>
        <w:tabs>
          <w:tab w:val="clear" w:pos="720"/>
          <w:tab w:val="left" w:pos="426" w:leader="none"/>
        </w:tabs>
        <w:bidi w:val="0"/>
        <w:spacing w:before="0" w:after="0"/>
        <w:ind w:left="737" w:right="0" w:hanging="0"/>
        <w:contextualSpacing/>
        <w:jc w:val="left"/>
        <w:rPr>
          <w:rFonts w:ascii="Times New Roman" w:hAnsi="Times New Roman" w:eastAsia="Calibri" w:cs="Times New Roman"/>
          <w:b/>
          <w:bCs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Calibri" w:cs="Times New Roman"/>
          <w:b/>
          <w:bCs/>
          <w:color w:val="auto"/>
          <w:kern w:val="0"/>
          <w:sz w:val="24"/>
          <w:szCs w:val="24"/>
          <w:lang w:val="ru-RU" w:eastAsia="ru-RU" w:bidi="ar-SA"/>
        </w:rPr>
        <w:t>Обязательства Исполнителя</w:t>
      </w:r>
    </w:p>
    <w:p>
      <w:pPr>
        <w:pStyle w:val="Normal"/>
        <w:widowControl w:val="false"/>
        <w:numPr>
          <w:ilvl w:val="2"/>
          <w:numId w:val="4"/>
        </w:numPr>
        <w:tabs>
          <w:tab w:val="clear" w:pos="720"/>
          <w:tab w:val="left" w:pos="426" w:leader="none"/>
        </w:tabs>
        <w:bidi w:val="0"/>
        <w:spacing w:lineRule="auto" w:line="240" w:before="0" w:after="0"/>
        <w:ind w:left="0" w:right="0" w:firstLine="709"/>
        <w:jc w:val="both"/>
        <w:rPr/>
      </w:pPr>
      <w:r>
        <w:rPr>
          <w:b w:val="false"/>
          <w:bCs w:val="false"/>
          <w:color w:val="auto"/>
          <w:sz w:val="24"/>
          <w:szCs w:val="24"/>
        </w:rPr>
        <w:t xml:space="preserve"> </w:t>
      </w:r>
      <w:r>
        <w:rPr>
          <w:rFonts w:eastAsia="Calibri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Техника эксплуатируется в технически исправном состоянии. Осуществление ежедневного предрейсового и послерейсового инструментального контроля техники со стороны Исполнителя.</w:t>
      </w:r>
    </w:p>
    <w:p>
      <w:pPr>
        <w:pStyle w:val="Normal"/>
        <w:widowControl w:val="false"/>
        <w:numPr>
          <w:ilvl w:val="2"/>
          <w:numId w:val="4"/>
        </w:numPr>
        <w:tabs>
          <w:tab w:val="clear" w:pos="720"/>
          <w:tab w:val="left" w:pos="426" w:leader="none"/>
        </w:tabs>
        <w:bidi w:val="0"/>
        <w:spacing w:lineRule="auto" w:line="240" w:before="0" w:after="0"/>
        <w:ind w:left="0" w:right="0" w:firstLine="709"/>
        <w:jc w:val="both"/>
        <w:rPr>
          <w:rFonts w:ascii="Times New Roman" w:hAnsi="Times New Roman" w:eastAsia="Calibri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Calibri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Calibri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Наличие и предоставление подменных единиц техники в случае неисправности основных единиц техники.</w:t>
      </w:r>
    </w:p>
    <w:p>
      <w:pPr>
        <w:pStyle w:val="Normal"/>
        <w:widowControl w:val="false"/>
        <w:numPr>
          <w:ilvl w:val="2"/>
          <w:numId w:val="4"/>
        </w:numPr>
        <w:tabs>
          <w:tab w:val="clear" w:pos="720"/>
          <w:tab w:val="left" w:pos="426" w:leader="none"/>
        </w:tabs>
        <w:bidi w:val="0"/>
        <w:spacing w:lineRule="auto" w:line="240" w:before="0" w:after="0"/>
        <w:ind w:left="0" w:right="0" w:firstLine="709"/>
        <w:jc w:val="both"/>
        <w:rPr>
          <w:rFonts w:ascii="Times New Roman" w:hAnsi="Times New Roman" w:eastAsia="Calibri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Calibri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Calibri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Исполнитель должен иметь в наличии аналогичное подменное транспортное средство, а в случае невозможности продолжения оказания услуг ранее предоставленным тр</w:t>
      </w:r>
      <w:r>
        <w:rPr>
          <w:rFonts w:eastAsia="Calibri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 xml:space="preserve">анспортным средством вследствие возникновения в процессе оказания услуг обстоятельств, препятствующих выполнению обязательств Исполнителя по условиям договора. </w:t>
      </w:r>
    </w:p>
    <w:p>
      <w:pPr>
        <w:pStyle w:val="Normal"/>
        <w:widowControl w:val="false"/>
        <w:numPr>
          <w:ilvl w:val="2"/>
          <w:numId w:val="4"/>
        </w:numPr>
        <w:tabs>
          <w:tab w:val="clear" w:pos="720"/>
          <w:tab w:val="left" w:pos="426" w:leader="none"/>
        </w:tabs>
        <w:bidi w:val="0"/>
        <w:spacing w:lineRule="auto" w:line="240" w:before="0" w:after="0"/>
        <w:ind w:left="0" w:right="0" w:firstLine="709"/>
        <w:jc w:val="both"/>
        <w:rPr>
          <w:highlight w:val="none"/>
          <w:shd w:fill="auto" w:val="clear"/>
        </w:rPr>
      </w:pPr>
      <w:r>
        <w:rPr>
          <w:rFonts w:eastAsia="Calibri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 xml:space="preserve"> </w:t>
      </w:r>
      <w:r>
        <w:rPr>
          <w:rFonts w:eastAsia="Calibri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 xml:space="preserve">Плавсредства для выполнения услуг по покосу растительности (камыша) являются обременим Исполнителя. Исполнитель вправе выбрать самостоятельно необходимые плавсредства исходя из сложности оказания услуг. Исполнитель несет ответственность за безопасность и организацию работ с использованием плавсредств в соответствии с действующим законодательством. </w:t>
      </w:r>
    </w:p>
    <w:p>
      <w:pPr>
        <w:pStyle w:val="Normal"/>
        <w:widowControl w:val="false"/>
        <w:numPr>
          <w:ilvl w:val="2"/>
          <w:numId w:val="4"/>
        </w:numPr>
        <w:tabs>
          <w:tab w:val="clear" w:pos="720"/>
          <w:tab w:val="left" w:pos="426" w:leader="none"/>
        </w:tabs>
        <w:bidi w:val="0"/>
        <w:spacing w:lineRule="auto" w:line="240" w:before="0" w:after="0"/>
        <w:ind w:left="0" w:right="0" w:firstLine="709"/>
        <w:jc w:val="both"/>
        <w:rPr>
          <w:highlight w:val="none"/>
          <w:shd w:fill="auto" w:val="clear"/>
        </w:rPr>
      </w:pPr>
      <w:r>
        <w:rPr>
          <w:rFonts w:eastAsia="Calibri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 xml:space="preserve">Исполнитель самостоятельно и за свой счет вывозит мусор, порубочные остатки за территорию объектов Заказчика с последующей утилизацией. </w:t>
      </w:r>
    </w:p>
    <w:p>
      <w:pPr>
        <w:pStyle w:val="Normal"/>
        <w:widowControl w:val="false"/>
        <w:numPr>
          <w:ilvl w:val="2"/>
          <w:numId w:val="4"/>
        </w:numPr>
        <w:tabs>
          <w:tab w:val="clear" w:pos="720"/>
          <w:tab w:val="left" w:pos="426" w:leader="none"/>
        </w:tabs>
        <w:bidi w:val="0"/>
        <w:spacing w:lineRule="auto" w:line="240" w:before="0" w:after="0"/>
        <w:ind w:left="0" w:right="0" w:firstLine="709"/>
        <w:jc w:val="both"/>
        <w:rPr>
          <w:highlight w:val="none"/>
          <w:shd w:fill="auto" w:val="clear"/>
        </w:rPr>
      </w:pPr>
      <w:r>
        <w:rPr>
          <w:rFonts w:eastAsia="Calibri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 xml:space="preserve"> </w:t>
      </w:r>
      <w:r>
        <w:rPr>
          <w:rFonts w:eastAsia="Calibri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 xml:space="preserve">Исполнитель обязан выполнить услуги в соответствии с требованиями Заказчика и нести все расходы, связанные с выполнением данных услуг. </w:t>
      </w:r>
    </w:p>
    <w:p>
      <w:pPr>
        <w:pStyle w:val="Normal"/>
        <w:widowControl w:val="false"/>
        <w:numPr>
          <w:ilvl w:val="2"/>
          <w:numId w:val="4"/>
        </w:numPr>
        <w:tabs>
          <w:tab w:val="clear" w:pos="720"/>
          <w:tab w:val="left" w:pos="426" w:leader="none"/>
        </w:tabs>
        <w:bidi w:val="0"/>
        <w:spacing w:lineRule="auto" w:line="240" w:before="0" w:after="0"/>
        <w:ind w:left="0" w:right="0" w:firstLine="709"/>
        <w:jc w:val="both"/>
        <w:rPr>
          <w:highlight w:val="none"/>
          <w:shd w:fill="auto" w:val="clear"/>
        </w:rPr>
      </w:pPr>
      <w:r>
        <w:rPr>
          <w:rFonts w:eastAsia="Calibri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 xml:space="preserve"> </w:t>
      </w:r>
      <w:r>
        <w:rPr>
          <w:rFonts w:eastAsia="Calibri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 xml:space="preserve">При невозможности осуществления основным экипажем своих обязанностей, Исполнитель обязан своевременно предоставить замену персонала, квалификация которых должна отвечать требованиям эксплуатации транспортного средства данного вида. </w:t>
      </w:r>
    </w:p>
    <w:p>
      <w:pPr>
        <w:pStyle w:val="Normal"/>
        <w:widowControl w:val="false"/>
        <w:numPr>
          <w:ilvl w:val="2"/>
          <w:numId w:val="4"/>
        </w:numPr>
        <w:tabs>
          <w:tab w:val="clear" w:pos="720"/>
          <w:tab w:val="left" w:pos="426" w:leader="none"/>
        </w:tabs>
        <w:bidi w:val="0"/>
        <w:spacing w:lineRule="auto" w:line="240" w:before="0" w:after="0"/>
        <w:ind w:left="0" w:right="0" w:firstLine="709"/>
        <w:jc w:val="both"/>
        <w:rPr>
          <w:highlight w:val="none"/>
          <w:shd w:fill="auto" w:val="clear"/>
        </w:rPr>
      </w:pPr>
      <w:r>
        <w:rPr>
          <w:rFonts w:eastAsia="Calibri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 xml:space="preserve"> </w:t>
      </w:r>
      <w:r>
        <w:rPr>
          <w:rFonts w:eastAsia="Calibri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 xml:space="preserve">Соблюдение требований внутриобъектового и контрольно-пропускного режимов, установленных на территории Заказчика. </w:t>
      </w:r>
    </w:p>
    <w:p>
      <w:pPr>
        <w:pStyle w:val="Normal"/>
        <w:widowControl w:val="false"/>
        <w:numPr>
          <w:ilvl w:val="2"/>
          <w:numId w:val="4"/>
        </w:numPr>
        <w:tabs>
          <w:tab w:val="clear" w:pos="720"/>
          <w:tab w:val="left" w:pos="426" w:leader="none"/>
        </w:tabs>
        <w:bidi w:val="0"/>
        <w:spacing w:lineRule="auto" w:line="240" w:before="0" w:after="0"/>
        <w:ind w:left="0" w:right="0" w:firstLine="709"/>
        <w:jc w:val="both"/>
        <w:rPr>
          <w:highlight w:val="none"/>
          <w:shd w:fill="auto" w:val="clear"/>
        </w:rPr>
      </w:pPr>
      <w:r>
        <w:rPr>
          <w:rFonts w:eastAsia="Calibri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 xml:space="preserve"> </w:t>
      </w:r>
      <w:r>
        <w:rPr>
          <w:rFonts w:eastAsia="Calibri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 xml:space="preserve">Соблюдение требований и правил охраны труда, технической, промышленной, пожарной, экологической безопасности и иные установленные на территории Заказчика требования. </w:t>
      </w:r>
    </w:p>
    <w:p>
      <w:pPr>
        <w:pStyle w:val="Heading3"/>
        <w:numPr>
          <w:ilvl w:val="2"/>
          <w:numId w:val="4"/>
        </w:numPr>
        <w:bidi w:val="0"/>
        <w:spacing w:lineRule="auto" w:line="240" w:before="0" w:after="0"/>
        <w:ind w:left="0" w:right="0" w:firstLine="709"/>
        <w:jc w:val="both"/>
        <w:rPr>
          <w:highlight w:val="none"/>
          <w:shd w:fill="auto" w:val="clear"/>
        </w:rPr>
      </w:pPr>
      <w:r>
        <w:rPr>
          <w:rFonts w:eastAsia="Calibri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>До начала оказания услуг Исполнитель должен подготовить площадку подъездных путей и основание под работу спецтехники.</w:t>
      </w:r>
    </w:p>
    <w:p>
      <w:pPr>
        <w:pStyle w:val="Heading3"/>
        <w:numPr>
          <w:ilvl w:val="2"/>
          <w:numId w:val="4"/>
        </w:numPr>
        <w:bidi w:val="0"/>
        <w:spacing w:lineRule="auto" w:line="240" w:before="0" w:after="0"/>
        <w:ind w:left="0" w:right="0" w:firstLine="709"/>
        <w:jc w:val="both"/>
        <w:rPr>
          <w:highlight w:val="none"/>
          <w:shd w:fill="auto" w:val="clear"/>
        </w:rPr>
      </w:pPr>
      <w:r>
        <w:rPr>
          <w:rFonts w:eastAsia="Calibri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>Исполнитель самостоятельно закупает материалы, другое необходимое материально-техническое обеспечение для выполнения услуг на объекте.</w:t>
      </w:r>
    </w:p>
    <w:p>
      <w:pPr>
        <w:pStyle w:val="Heading3"/>
        <w:numPr>
          <w:ilvl w:val="2"/>
          <w:numId w:val="4"/>
        </w:numPr>
        <w:bidi w:val="0"/>
        <w:spacing w:lineRule="auto" w:line="240" w:before="0" w:after="0"/>
        <w:ind w:left="0" w:right="0" w:firstLine="709"/>
        <w:jc w:val="both"/>
        <w:rPr>
          <w:rFonts w:ascii="Times New Roman" w:hAnsi="Times New Roman" w:eastAsia="Calibri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Calibri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>Исполнитель не допускает порчи ограждений и асфальтовых покрытий, бордюрного камня, контейнерных площадок, а также зеленых насаждений и газ</w:t>
      </w:r>
      <w:r>
        <w:rPr>
          <w:rFonts w:eastAsia="Calibri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 xml:space="preserve">онов на территории Заказчика, </w:t>
      </w:r>
    </w:p>
    <w:p>
      <w:pPr>
        <w:pStyle w:val="Normal"/>
        <w:numPr>
          <w:ilvl w:val="2"/>
          <w:numId w:val="4"/>
        </w:numPr>
        <w:bidi w:val="0"/>
        <w:spacing w:lineRule="auto" w:line="240" w:before="0" w:after="0"/>
        <w:ind w:left="0" w:right="0" w:firstLine="709"/>
        <w:jc w:val="both"/>
        <w:rPr>
          <w:rFonts w:ascii="Times New Roman" w:hAnsi="Times New Roman" w:eastAsia="Calibri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Calibri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Calibri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Исполнитель несет ответственность за все действия своего персонала, в том числе и за соблюдение персоналом законодательства Российской Федерации. Исполнитель принимает меры по предотвращению возможного причинения вреда, связанного с оказанием услуг, а также по ликвидации последствий нанесенного ущерба.</w:t>
      </w:r>
    </w:p>
    <w:p>
      <w:pPr>
        <w:pStyle w:val="Normal"/>
        <w:numPr>
          <w:ilvl w:val="2"/>
          <w:numId w:val="4"/>
        </w:numPr>
        <w:spacing w:before="0" w:after="0"/>
        <w:ind w:left="0" w:right="0" w:firstLine="709"/>
        <w:jc w:val="both"/>
        <w:rPr>
          <w:rFonts w:ascii="Times New Roman" w:hAnsi="Times New Roman" w:eastAsia="Calibri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Calibri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Исполнитель несет полную ответственность за безопасное оказание услуг.</w:t>
      </w:r>
    </w:p>
    <w:p>
      <w:pPr>
        <w:pStyle w:val="Normal"/>
        <w:numPr>
          <w:ilvl w:val="2"/>
          <w:numId w:val="4"/>
        </w:numPr>
        <w:spacing w:before="0" w:after="0"/>
        <w:ind w:left="0" w:right="0" w:firstLine="709"/>
        <w:jc w:val="both"/>
        <w:rPr>
          <w:rFonts w:ascii="Times New Roman" w:hAnsi="Times New Roman" w:eastAsia="Calibri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Calibri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Calibri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Исполнитель обязан принять все необходимые меры по обеспечению безопасности при подготовке к оказанию услуг, при оказании услуг, после оказания услуг. Всю ответственность за обеспечение безопасности третьих лиц (ограждение опасной территории, сопровождение и т.п.) несет Исполнитель. Исполнитель несет ответственность за сохранность находящегося в зоне оказания услуг имущества Заказчика и третьих лиц. Ущерб, нанесенный Исполнителем Заказчику и третьим лицам, возмещается из средств Исполнителя.</w:t>
      </w:r>
    </w:p>
    <w:p>
      <w:pPr>
        <w:pStyle w:val="Normal"/>
        <w:numPr>
          <w:ilvl w:val="2"/>
          <w:numId w:val="4"/>
        </w:numPr>
        <w:spacing w:before="0" w:after="0"/>
        <w:ind w:left="0" w:right="0" w:firstLine="709"/>
        <w:jc w:val="both"/>
        <w:rPr>
          <w:rFonts w:ascii="Times New Roman" w:hAnsi="Times New Roman" w:eastAsia="Calibri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Calibri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При несоответствии качества оказанных услуг требованиям Заказчика, Исполнитель устраняет все нарушения своими силами и за свой счет, а также возмещает все убытки, причиненные Заказчику в результате этих нарушений.</w:t>
      </w:r>
    </w:p>
    <w:p>
      <w:pPr>
        <w:pStyle w:val="ListParagraph"/>
        <w:widowControl w:val="false"/>
        <w:numPr>
          <w:ilvl w:val="2"/>
          <w:numId w:val="4"/>
        </w:numPr>
        <w:tabs>
          <w:tab w:val="clear" w:pos="720"/>
          <w:tab w:val="left" w:pos="426" w:leader="none"/>
        </w:tabs>
        <w:spacing w:before="0" w:after="0"/>
        <w:ind w:left="0" w:right="0" w:firstLine="709"/>
        <w:contextualSpacing w:val="false"/>
        <w:jc w:val="both"/>
        <w:rPr>
          <w:rFonts w:ascii="Times New Roman" w:hAnsi="Times New Roman" w:eastAsia="Calibri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Calibri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Calibri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 xml:space="preserve">Исполнитель гарантирует бесперебойную работу в течение всего срока оказания услуг. 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20"/>
          <w:tab w:val="left" w:pos="426" w:leader="none"/>
        </w:tabs>
        <w:spacing w:before="0" w:after="0"/>
        <w:ind w:left="0" w:right="0" w:hanging="0"/>
        <w:contextualSpacing w:val="false"/>
        <w:jc w:val="both"/>
        <w:rPr>
          <w:rFonts w:ascii="Times New Roman" w:hAnsi="Times New Roman" w:eastAsia="Calibri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Calibri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</w:r>
    </w:p>
    <w:p>
      <w:pPr>
        <w:pStyle w:val="Heading4"/>
        <w:keepNext w:val="true"/>
        <w:keepLines/>
        <w:widowControl/>
        <w:numPr>
          <w:ilvl w:val="1"/>
          <w:numId w:val="4"/>
        </w:numPr>
        <w:bidi w:val="0"/>
        <w:spacing w:before="0" w:after="0"/>
        <w:ind w:left="0" w:right="0" w:firstLine="709"/>
        <w:jc w:val="left"/>
        <w:rPr>
          <w:rFonts w:ascii="Times New Roman" w:hAnsi="Times New Roman" w:eastAsia="Calibri" w:cs="Times New Roman"/>
          <w:b/>
          <w:bCs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Calibri" w:cs="Times New Roman"/>
          <w:b/>
          <w:bCs/>
          <w:color w:val="auto"/>
          <w:kern w:val="0"/>
          <w:sz w:val="24"/>
          <w:szCs w:val="24"/>
          <w:lang w:val="ru-RU" w:eastAsia="ru-RU" w:bidi="ar-SA"/>
        </w:rPr>
        <w:t>Обязательства Заказчика</w:t>
      </w:r>
    </w:p>
    <w:p>
      <w:pPr>
        <w:pStyle w:val="BodyText"/>
        <w:numPr>
          <w:ilvl w:val="2"/>
          <w:numId w:val="4"/>
        </w:numPr>
        <w:spacing w:lineRule="auto" w:line="240" w:before="0" w:after="0"/>
        <w:ind w:left="0"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Заказчик назначает представителя для оперативного рассмотрения и решения технических и организационных вопросов, связанных с оказанием услуг.</w:t>
      </w:r>
    </w:p>
    <w:p>
      <w:pPr>
        <w:pStyle w:val="BodyText"/>
        <w:numPr>
          <w:ilvl w:val="2"/>
          <w:numId w:val="4"/>
        </w:numPr>
        <w:spacing w:lineRule="auto" w:line="240" w:before="0" w:after="0"/>
        <w:ind w:left="0"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период оказания услуг Заказчиком безвозмездно предоставляются Исполнителю следующие ресурсы: электроэнергия, сжатый воздух, вода. </w:t>
      </w:r>
    </w:p>
    <w:p>
      <w:pPr>
        <w:pStyle w:val="BodyText"/>
        <w:numPr>
          <w:ilvl w:val="2"/>
          <w:numId w:val="4"/>
        </w:numPr>
        <w:spacing w:lineRule="auto" w:line="240" w:before="0" w:after="0"/>
        <w:ind w:left="0"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Ознакомление Исполнителя с локальными нормативными актами Заказчика, устанавливающими требования по охране труда, промышленной и пожарной безопасности, охране окружающей среды, правилами пропускного и внутриобъектового режима Заказчика.</w:t>
      </w:r>
    </w:p>
    <w:p>
      <w:pPr>
        <w:pStyle w:val="Normal"/>
        <w:widowControl w:val="false"/>
        <w:tabs>
          <w:tab w:val="clear" w:pos="720"/>
          <w:tab w:val="left" w:pos="426" w:leader="none"/>
        </w:tabs>
        <w:spacing w:before="0" w:after="0"/>
        <w:ind w:left="0" w:firstLine="709"/>
        <w:jc w:val="both"/>
        <w:rPr>
          <w:rFonts w:ascii="Times New Roman" w:hAnsi="Times New Roman"/>
          <w:b w:val="false"/>
          <w:bCs w:val="false"/>
          <w:color w:val="auto"/>
          <w:highlight w:val="none"/>
          <w:shd w:fill="auto" w:val="clear"/>
          <w:lang w:eastAsia="x-none"/>
        </w:rPr>
      </w:pPr>
      <w:r>
        <w:rPr>
          <w:b w:val="false"/>
          <w:bCs w:val="false"/>
          <w:color w:val="000000"/>
          <w:shd w:fill="auto" w:val="clear"/>
          <w:lang w:eastAsia="x-none"/>
        </w:rPr>
      </w:r>
    </w:p>
    <w:p>
      <w:pPr>
        <w:pStyle w:val="ListParagraph"/>
        <w:widowControl/>
        <w:numPr>
          <w:ilvl w:val="1"/>
          <w:numId w:val="4"/>
        </w:numPr>
        <w:bidi w:val="0"/>
        <w:spacing w:lineRule="auto" w:line="240" w:before="0" w:after="0"/>
        <w:ind w:left="0" w:right="0" w:firstLine="709"/>
        <w:contextualSpacing/>
        <w:jc w:val="both"/>
        <w:rPr>
          <w:rFonts w:ascii="Times New Roman" w:hAnsi="Times New Roman" w:eastAsia="Calibri" w:cs="Times New Roman"/>
          <w:b/>
          <w:bCs/>
          <w:color w:val="auto"/>
          <w:kern w:val="0"/>
          <w:sz w:val="24"/>
          <w:szCs w:val="24"/>
          <w:lang w:val="ru-RU" w:eastAsia="ru-RU" w:bidi="ar-SA"/>
        </w:rPr>
      </w:pPr>
      <w:bookmarkStart w:id="12" w:name="_Toc1390129312"/>
      <w:r>
        <w:rPr>
          <w:rFonts w:eastAsia="Calibri" w:cs="Times New Roman"/>
          <w:b/>
          <w:bCs/>
          <w:color w:val="auto"/>
          <w:kern w:val="0"/>
          <w:sz w:val="24"/>
          <w:szCs w:val="24"/>
          <w:lang w:val="ru-RU" w:eastAsia="ru-RU" w:bidi="ar-SA"/>
        </w:rPr>
        <w:t>Иные требования и сведения общего характера</w:t>
      </w:r>
      <w:bookmarkEnd w:id="12"/>
      <w:r>
        <w:rPr>
          <w:rFonts w:eastAsia="Calibri" w:cs="Times New Roman"/>
          <w:b/>
          <w:bCs/>
          <w:color w:val="auto"/>
          <w:kern w:val="0"/>
          <w:sz w:val="24"/>
          <w:szCs w:val="24"/>
          <w:lang w:val="ru-RU" w:eastAsia="ru-RU" w:bidi="ar-SA"/>
        </w:rPr>
        <w:t xml:space="preserve"> </w:t>
      </w:r>
    </w:p>
    <w:p>
      <w:pPr>
        <w:pStyle w:val="ListParagraph"/>
        <w:numPr>
          <w:ilvl w:val="2"/>
          <w:numId w:val="4"/>
        </w:numPr>
        <w:spacing w:before="0" w:after="0"/>
        <w:ind w:left="0" w:right="0" w:firstLine="709"/>
        <w:contextualSpacing w:val="false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Любая информация, полученная в ходе ознакомления с объектом, а также в ходе выполнения работ, является собственностью Заказчика и не может передаваться третьим лицам, использоваться в своих целях, распространяться или тиражироваться любыми способами без письменного разрешения Заказчика.</w:t>
      </w:r>
    </w:p>
    <w:p>
      <w:pPr>
        <w:pStyle w:val="ListParagraph"/>
        <w:numPr>
          <w:ilvl w:val="2"/>
          <w:numId w:val="4"/>
        </w:numPr>
        <w:spacing w:before="0" w:after="0"/>
        <w:ind w:left="0" w:right="0" w:firstLine="709"/>
        <w:contextualSpacing w:val="false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Участки, подлежащие покосу и очистке от растительности, определяются Заказчиком и могут изменяться Заказчиком в процессе оказания услуг.</w:t>
      </w:r>
    </w:p>
    <w:p>
      <w:pPr>
        <w:pStyle w:val="ListParagraph"/>
        <w:numPr>
          <w:ilvl w:val="2"/>
          <w:numId w:val="4"/>
        </w:numPr>
        <w:spacing w:before="0" w:after="0"/>
        <w:ind w:left="0" w:right="0" w:firstLine="709"/>
        <w:contextualSpacing w:val="false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Технология и качество оказываемых услуг должны удовлетворять требованиям экологических, санитарно-гигиенических норм и правил, действующих на территории Российской Федерации.</w:t>
      </w:r>
    </w:p>
    <w:p>
      <w:pPr>
        <w:pStyle w:val="ListParagraph"/>
        <w:numPr>
          <w:ilvl w:val="2"/>
          <w:numId w:val="4"/>
        </w:numPr>
        <w:spacing w:before="0" w:after="0"/>
        <w:ind w:left="0" w:right="0" w:firstLine="709"/>
        <w:contextualSpacing w:val="false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 xml:space="preserve"> </w:t>
      </w:r>
      <w:bookmarkStart w:id="13" w:name="_Hlk1642606812"/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Вывоз мусора производится в соответствии с правилами по безопасности и охране труда, установленными для такого рода работ.</w:t>
      </w:r>
      <w:bookmarkEnd w:id="13"/>
    </w:p>
    <w:p>
      <w:pPr>
        <w:pStyle w:val="ListParagraph"/>
        <w:numPr>
          <w:ilvl w:val="2"/>
          <w:numId w:val="4"/>
        </w:numPr>
        <w:spacing w:before="0" w:after="0"/>
        <w:ind w:left="0" w:right="0" w:firstLine="709"/>
        <w:contextualSpacing w:val="false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 xml:space="preserve">Перед началом оказания услуг по покосу травы необходимо убедиться в отсутствии в зоне оказания услуг людей, животных, учесть особенности местности, а также близлежащие конструкции и сооружения, которые могут быть повреждены при оказании услуг. </w:t>
      </w:r>
    </w:p>
    <w:p>
      <w:pPr>
        <w:pStyle w:val="ListParagraph"/>
        <w:numPr>
          <w:ilvl w:val="2"/>
          <w:numId w:val="4"/>
        </w:numPr>
        <w:spacing w:before="0" w:after="0"/>
        <w:ind w:left="0" w:right="0" w:firstLine="709"/>
        <w:contextualSpacing w:val="false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При работе с ядохимикатами необходимо использовать специальную защитную одежду, оборудование и средства индивидуальной защиты. К таким средствам относятся защитные костюмы, перчатки, очки и, в некоторых случаях, респираторы.</w:t>
      </w:r>
    </w:p>
    <w:p>
      <w:pPr>
        <w:pStyle w:val="ListParagraph"/>
        <w:numPr>
          <w:ilvl w:val="2"/>
          <w:numId w:val="4"/>
        </w:numPr>
        <w:spacing w:before="0" w:after="0"/>
        <w:ind w:left="0" w:right="0" w:firstLine="709"/>
        <w:contextualSpacing w:val="false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 xml:space="preserve">Технология и качество оказываемых услуг должны удовлетворять требованиям экологических, санитарно-гигиенических норм и правил, действующих на территории Российской Федерации. </w:t>
      </w:r>
    </w:p>
    <w:p>
      <w:pPr>
        <w:pStyle w:val="ListParagraph"/>
        <w:numPr>
          <w:ilvl w:val="2"/>
          <w:numId w:val="4"/>
        </w:numPr>
        <w:spacing w:before="0" w:after="0"/>
        <w:ind w:left="0" w:right="0" w:firstLine="709"/>
        <w:contextualSpacing w:val="false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Все проводимые работы должны быть согласованы с полномочными представителями Заказчика, список которых Заказчик предоставляет Исполнителю перед началом проводимых работ.</w:t>
      </w:r>
    </w:p>
    <w:p>
      <w:pPr>
        <w:pStyle w:val="ListParagraph"/>
        <w:numPr>
          <w:ilvl w:val="2"/>
          <w:numId w:val="4"/>
        </w:numPr>
        <w:spacing w:before="0" w:after="0"/>
        <w:ind w:left="0" w:right="0" w:firstLine="709"/>
        <w:contextualSpacing w:val="false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Исполнитель обязан нести все расходы, связанные с эксплуатацией техники, включая, но не ограничиваясь расходы на заработную плату членам экипажей, оплату топлива, горюче-смазочных материалов и эксплуатационных жидкостей, оплату ремонта и запасных частей для техники, оплату стоимости налоговых пошлин, страховых сборов, оплату штрафов, и иных расходов, возникающих в связи с эксплуатацией спецтехники.</w:t>
      </w:r>
    </w:p>
    <w:p>
      <w:pPr>
        <w:pStyle w:val="ListParagraph"/>
        <w:numPr>
          <w:ilvl w:val="2"/>
          <w:numId w:val="4"/>
        </w:numPr>
        <w:spacing w:before="0" w:after="0"/>
        <w:ind w:left="0" w:right="0" w:firstLine="709"/>
        <w:contextualSpacing w:val="false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Предоставляемая техника должна находиться в технически исправном состоянии с заправкой ГСМ и необходимой документацией (в т.ч. путевым листом), укомплектованная необходимыми вспомогательными средствами: огнетушителем, аварийным знаком, аптечкой с медикаментами, в соответствии с согласованными Сторонами в Заявке временем и местом подачи. Исполнитель несет ответственность за техническое состояние техники. Исполнитель должен обеспечить соблюдение водителями (машинистами) правил и инструкций по охране труда, безопасности дорожного движения, пожарной и электробезопасности во время оказания услуг. Исполнитель несет ответственность за соблюдение действующих норм и правил при работе с ГПМ.</w:t>
      </w:r>
    </w:p>
    <w:p>
      <w:pPr>
        <w:pStyle w:val="Heading3"/>
        <w:numPr>
          <w:ilvl w:val="2"/>
          <w:numId w:val="4"/>
        </w:numPr>
        <w:spacing w:before="0" w:after="0"/>
        <w:ind w:left="0" w:right="0" w:firstLine="709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 xml:space="preserve">Исполнитель до начала работ согласовывает с Филиалом, необходимые для выполнения работ, организационно-технологические документы. </w:t>
      </w:r>
    </w:p>
    <w:p>
      <w:pPr>
        <w:pStyle w:val="Normal"/>
        <w:widowControl w:val="false"/>
        <w:numPr>
          <w:ilvl w:val="2"/>
          <w:numId w:val="4"/>
        </w:numPr>
        <w:tabs>
          <w:tab w:val="clear" w:pos="720"/>
          <w:tab w:val="left" w:pos="426" w:leader="none"/>
        </w:tabs>
        <w:spacing w:before="0" w:after="0"/>
        <w:ind w:left="0" w:right="0" w:firstLine="709"/>
        <w:jc w:val="both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>Объем заявленных услуг не налагает на Заказчика обязательства выполнения всего объема.</w:t>
      </w:r>
    </w:p>
    <w:p>
      <w:pPr>
        <w:pStyle w:val="Normal"/>
        <w:widowControl w:val="false"/>
        <w:tabs>
          <w:tab w:val="clear" w:pos="720"/>
          <w:tab w:val="left" w:pos="426" w:leader="none"/>
        </w:tabs>
        <w:spacing w:before="0" w:after="0"/>
        <w:ind w:left="0" w:firstLine="709"/>
        <w:jc w:val="both"/>
        <w:rPr>
          <w:rFonts w:ascii="Times New Roman" w:hAnsi="Times New Roman"/>
          <w:b w:val="false"/>
          <w:bCs w:val="false"/>
          <w:color w:val="auto"/>
          <w:highlight w:val="none"/>
          <w:shd w:fill="FFFF00" w:val="clear"/>
        </w:rPr>
      </w:pPr>
      <w:r>
        <w:rPr>
          <w:b w:val="false"/>
          <w:bCs w:val="false"/>
          <w:color w:val="000000"/>
          <w:shd w:fill="FFFF00" w:val="clear"/>
        </w:rPr>
      </w:r>
    </w:p>
    <w:p>
      <w:pPr>
        <w:pStyle w:val="Normal"/>
        <w:numPr>
          <w:ilvl w:val="0"/>
          <w:numId w:val="0"/>
        </w:numPr>
        <w:ind w:left="0" w:hanging="0"/>
        <w:jc w:val="both"/>
        <w:rPr>
          <w:rFonts w:ascii="Times New Roman" w:hAnsi="Times New Roman"/>
          <w:b w:val="false"/>
          <w:bCs w:val="false"/>
          <w:color w:val="000000"/>
        </w:rPr>
      </w:pPr>
      <w:r>
        <w:rPr>
          <w:b w:val="false"/>
          <w:bCs w:val="false"/>
          <w:color w:val="000000"/>
        </w:rPr>
      </w:r>
    </w:p>
    <w:p>
      <w:pPr>
        <w:pStyle w:val="ListParagraph"/>
        <w:numPr>
          <w:ilvl w:val="0"/>
          <w:numId w:val="4"/>
        </w:numPr>
        <w:ind w:left="0" w:firstLine="709"/>
        <w:jc w:val="center"/>
        <w:rPr>
          <w:b/>
        </w:rPr>
      </w:pPr>
      <w:bookmarkStart w:id="14" w:name="_Toc54643702"/>
      <w:bookmarkStart w:id="15" w:name="_Toc51339693"/>
      <w:r>
        <w:rPr>
          <w:b/>
        </w:rPr>
        <w:t>Требования к продукции</w:t>
      </w:r>
      <w:bookmarkEnd w:id="14"/>
      <w:bookmarkEnd w:id="15"/>
    </w:p>
    <w:p>
      <w:pPr>
        <w:pStyle w:val="ListParagraph"/>
        <w:numPr>
          <w:ilvl w:val="1"/>
          <w:numId w:val="4"/>
        </w:numPr>
        <w:ind w:left="0" w:firstLine="709"/>
        <w:jc w:val="both"/>
        <w:rPr>
          <w:b/>
        </w:rPr>
      </w:pPr>
      <w:bookmarkStart w:id="16" w:name="_Toc54643703"/>
      <w:r>
        <w:rPr>
          <w:b/>
        </w:rPr>
        <w:t>Требования к объемам и срокам оказания услуг</w:t>
      </w:r>
      <w:bookmarkEnd w:id="16"/>
    </w:p>
    <w:p>
      <w:pPr>
        <w:pStyle w:val="ListParagraph"/>
        <w:numPr>
          <w:ilvl w:val="2"/>
          <w:numId w:val="4"/>
        </w:numPr>
        <w:jc w:val="both"/>
        <w:rPr>
          <w:b/>
        </w:rPr>
      </w:pPr>
      <w:bookmarkStart w:id="17" w:name="_Toc54643704"/>
      <w:r>
        <w:rPr>
          <w:b/>
        </w:rPr>
        <w:t>Требования к перечню и объему услуг</w:t>
      </w:r>
      <w:bookmarkEnd w:id="17"/>
    </w:p>
    <w:p>
      <w:pPr>
        <w:pStyle w:val="ListParagraph"/>
        <w:ind w:left="1224" w:hanging="0"/>
        <w:jc w:val="both"/>
        <w:rPr>
          <w:b/>
        </w:rPr>
      </w:pPr>
      <w:r>
        <w:rPr>
          <w:b/>
        </w:rPr>
      </w:r>
    </w:p>
    <w:p>
      <w:pPr>
        <w:pStyle w:val="Normal"/>
        <w:widowControl w:val="false"/>
        <w:tabs>
          <w:tab w:val="clear" w:pos="720"/>
          <w:tab w:val="left" w:pos="426" w:leader="none"/>
        </w:tabs>
        <w:jc w:val="both"/>
        <w:rPr>
          <w:b/>
          <w:sz w:val="24"/>
          <w:szCs w:val="24"/>
        </w:rPr>
      </w:pPr>
      <w:bookmarkStart w:id="18" w:name="_Toc54643705"/>
      <w:bookmarkStart w:id="19" w:name="_Toc51339695"/>
      <w:r>
        <w:rPr>
          <w:b/>
          <w:sz w:val="24"/>
          <w:szCs w:val="24"/>
        </w:rPr>
        <w:t>Таблица</w:t>
      </w:r>
      <w:r>
        <w:rPr>
          <w:b/>
          <w:sz w:val="24"/>
          <w:szCs w:val="24"/>
          <w:shd w:fill="auto" w:val="clear"/>
        </w:rPr>
        <w:t xml:space="preserve"> 4. </w:t>
      </w:r>
      <w:r>
        <w:rPr>
          <w:b/>
          <w:sz w:val="24"/>
          <w:szCs w:val="24"/>
        </w:rPr>
        <w:t xml:space="preserve">Перечень </w:t>
      </w:r>
      <w:bookmarkEnd w:id="19"/>
      <w:r>
        <w:rPr>
          <w:b/>
          <w:sz w:val="24"/>
          <w:szCs w:val="24"/>
        </w:rPr>
        <w:t>и объем оказываемых услуг</w:t>
      </w:r>
      <w:bookmarkEnd w:id="18"/>
    </w:p>
    <w:tbl>
      <w:tblPr>
        <w:tblW w:w="9923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828"/>
        <w:gridCol w:w="4584"/>
        <w:gridCol w:w="1939"/>
        <w:gridCol w:w="2571"/>
      </w:tblGrid>
      <w:tr>
        <w:trPr>
          <w:trHeight w:val="167" w:hRule="atLeast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№</w:t>
            </w:r>
          </w:p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п/п</w:t>
            </w:r>
          </w:p>
        </w:tc>
        <w:tc>
          <w:tcPr>
            <w:tcW w:w="4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услуг / этапа услуг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Объем оказания услуг</w:t>
            </w:r>
          </w:p>
        </w:tc>
      </w:tr>
      <w:tr>
        <w:trPr>
          <w:trHeight w:val="83" w:hRule="atLeast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</w:tr>
      <w:tr>
        <w:trPr>
          <w:trHeight w:val="433" w:hRule="atLeast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</w:t>
            </w:r>
          </w:p>
        </w:tc>
        <w:tc>
          <w:tcPr>
            <w:tcW w:w="4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lineRule="auto" w:line="240" w:before="0" w:after="0"/>
              <w:ind w:left="170" w:right="0" w:hanging="0"/>
              <w:jc w:val="center"/>
              <w:rPr>
                <w:sz w:val="18"/>
                <w:szCs w:val="18"/>
              </w:rPr>
            </w:pPr>
            <w:r>
              <w:rPr>
                <w:b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shd w:fill="auto" w:val="clear"/>
                <w:em w:val="none"/>
              </w:rPr>
              <w:t>ОКПД2 81.30.10.000 Оказание услуг по покосу травы и сорной растительности на объектах филиала ПАО «РусГидро» - «Дагестанский филиал»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Усл. ед.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eastAsia="Times New Roman" w:cs="Times New Roman"/>
                <w:iCs/>
                <w:color w:val="auto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color w:val="auto"/>
                <w:kern w:val="0"/>
                <w:sz w:val="18"/>
                <w:szCs w:val="18"/>
                <w:lang w:val="ru-RU" w:eastAsia="ru-RU" w:bidi="ar-SA"/>
              </w:rPr>
              <w:t>В соответствии с ведомостью объемов работ (Приложение №1 к настоящим ТТ) с учетом положений раздела 4 настоящих Технических требований</w:t>
            </w:r>
          </w:p>
        </w:tc>
      </w:tr>
    </w:tbl>
    <w:p>
      <w:pPr>
        <w:pStyle w:val="Normal"/>
        <w:widowControl w:val="false"/>
        <w:tabs>
          <w:tab w:val="clear" w:pos="720"/>
          <w:tab w:val="left" w:pos="426" w:leader="none"/>
        </w:tabs>
        <w:jc w:val="both"/>
        <w:rPr>
          <w:sz w:val="20"/>
          <w:szCs w:val="20"/>
        </w:rPr>
      </w:pPr>
      <w:r>
        <w:rPr>
          <w:rFonts w:eastAsia="Calibri"/>
          <w:b/>
          <w:i/>
          <w:iCs/>
          <w:sz w:val="20"/>
          <w:szCs w:val="20"/>
          <w:shd w:fill="auto" w:val="clear"/>
          <w:lang w:val="x-none" w:eastAsia="x-none"/>
        </w:rPr>
        <w:t>*Стоимость и сроки конкретного объёма оказываемых услуг по Заявке Заказчика согласовывается Сторонами в каждой отдельной Заявке на основании Локального сметного расчета к Заявке.</w:t>
      </w:r>
    </w:p>
    <w:p>
      <w:pPr>
        <w:pStyle w:val="Normal"/>
        <w:widowControl w:val="false"/>
        <w:tabs>
          <w:tab w:val="clear" w:pos="720"/>
          <w:tab w:val="left" w:pos="426" w:leader="none"/>
        </w:tabs>
        <w:jc w:val="both"/>
        <w:rPr>
          <w:b/>
          <w:sz w:val="24"/>
          <w:szCs w:val="24"/>
          <w:highlight w:val="none"/>
          <w:shd w:fill="auto" w:val="clear"/>
        </w:rPr>
      </w:pPr>
      <w:r>
        <w:rPr>
          <w:b/>
          <w:sz w:val="24"/>
          <w:szCs w:val="24"/>
          <w:shd w:fill="auto" w:val="clear"/>
        </w:rPr>
      </w:r>
    </w:p>
    <w:p>
      <w:pPr>
        <w:pStyle w:val="ListParagraph"/>
        <w:numPr>
          <w:ilvl w:val="2"/>
          <w:numId w:val="4"/>
        </w:numPr>
        <w:jc w:val="both"/>
        <w:rPr>
          <w:b/>
        </w:rPr>
      </w:pPr>
      <w:bookmarkStart w:id="20" w:name="_Toc54643706"/>
      <w:bookmarkStart w:id="21" w:name="_Toc51339696"/>
      <w:r>
        <w:rPr>
          <w:b/>
        </w:rPr>
        <w:t xml:space="preserve">Требования </w:t>
      </w:r>
      <w:bookmarkEnd w:id="21"/>
      <w:r>
        <w:rPr>
          <w:b/>
        </w:rPr>
        <w:t>к срокам оказания услуг</w:t>
      </w:r>
      <w:bookmarkEnd w:id="20"/>
    </w:p>
    <w:p>
      <w:pPr>
        <w:pStyle w:val="Normal"/>
        <w:widowControl w:val="false"/>
        <w:tabs>
          <w:tab w:val="clear" w:pos="720"/>
          <w:tab w:val="left" w:pos="426" w:leader="none"/>
        </w:tabs>
        <w:jc w:val="both"/>
        <w:rPr>
          <w:b/>
          <w:sz w:val="24"/>
          <w:szCs w:val="24"/>
        </w:rPr>
      </w:pPr>
      <w:bookmarkStart w:id="22" w:name="_Toc54643707"/>
      <w:bookmarkStart w:id="23" w:name="_Toc50125127"/>
      <w:bookmarkStart w:id="24" w:name="_Toc51339697"/>
      <w:r>
        <w:rPr>
          <w:b/>
          <w:sz w:val="24"/>
          <w:szCs w:val="24"/>
        </w:rPr>
        <w:t>Таблица</w:t>
      </w:r>
      <w:r>
        <w:rPr>
          <w:b/>
          <w:sz w:val="24"/>
          <w:szCs w:val="24"/>
          <w:shd w:fill="auto" w:val="clear"/>
        </w:rPr>
        <w:t xml:space="preserve"> 5. </w:t>
      </w:r>
      <w:bookmarkStart w:id="25" w:name="_Hlk50465284"/>
      <w:r>
        <w:rPr>
          <w:b/>
          <w:sz w:val="24"/>
          <w:szCs w:val="24"/>
        </w:rPr>
        <w:t xml:space="preserve">Требования к срокам </w:t>
      </w:r>
      <w:bookmarkEnd w:id="23"/>
      <w:bookmarkEnd w:id="24"/>
      <w:bookmarkEnd w:id="25"/>
      <w:r>
        <w:rPr>
          <w:b/>
          <w:sz w:val="24"/>
          <w:szCs w:val="24"/>
        </w:rPr>
        <w:t>оказания услуг</w:t>
      </w:r>
      <w:bookmarkEnd w:id="22"/>
    </w:p>
    <w:tbl>
      <w:tblPr>
        <w:tblW w:w="9922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54"/>
        <w:gridCol w:w="4402"/>
        <w:gridCol w:w="2482"/>
        <w:gridCol w:w="2483"/>
      </w:tblGrid>
      <w:tr>
        <w:trPr/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№ </w:t>
            </w:r>
            <w:r>
              <w:rPr>
                <w:b/>
                <w:sz w:val="18"/>
                <w:szCs w:val="18"/>
              </w:rPr>
              <w:t>п/п</w:t>
            </w: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услуг/ этапа услуг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Требования к началу срока оказания услуг/ этапа услуг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Требования к окончанию срока оказания услуг / этапа услуг</w:t>
            </w:r>
          </w:p>
        </w:tc>
      </w:tr>
      <w:tr>
        <w:trPr/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keepNext w:val="false"/>
              <w:widowControl w:val="false"/>
              <w:spacing w:before="0" w:after="0"/>
              <w:ind w:left="0" w:right="0" w:hanging="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</w:tr>
      <w:tr>
        <w:trPr/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ind w:left="0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bidi w:val="0"/>
              <w:spacing w:lineRule="auto" w:line="240" w:before="0" w:after="0"/>
              <w:ind w:left="170" w:right="0" w:hanging="0"/>
              <w:jc w:val="center"/>
              <w:rPr>
                <w:sz w:val="18"/>
                <w:szCs w:val="18"/>
              </w:rPr>
            </w:pPr>
            <w:r>
              <w:rPr>
                <w:b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8"/>
                <w:szCs w:val="18"/>
                <w:u w:val="none"/>
                <w:shd w:fill="auto" w:val="clear"/>
                <w:em w:val="none"/>
              </w:rPr>
              <w:t>ОКПД2 81.30.10.000 Оказание услуг по покосу травы и сорной растительности на объектах филиала ПАО «РусГидро» - «Дагестанский филиал»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С даты подписания договора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31.10.2026</w:t>
            </w:r>
          </w:p>
        </w:tc>
      </w:tr>
    </w:tbl>
    <w:p>
      <w:pPr>
        <w:sectPr>
          <w:headerReference w:type="even" r:id="rId2"/>
          <w:headerReference w:type="default" r:id="rId3"/>
          <w:footerReference w:type="default" r:id="rId4"/>
          <w:type w:val="nextPage"/>
          <w:pgSz w:w="11906" w:h="16838"/>
          <w:pgMar w:left="1134" w:right="851" w:gutter="0" w:header="680" w:top="1134" w:footer="737" w:bottom="992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ListParagraph"/>
        <w:numPr>
          <w:ilvl w:val="1"/>
          <w:numId w:val="4"/>
        </w:numPr>
        <w:ind w:left="0" w:firstLine="709"/>
        <w:jc w:val="both"/>
        <w:rPr>
          <w:iCs/>
        </w:rPr>
      </w:pPr>
      <w:bookmarkStart w:id="26" w:name="_Toc54643709"/>
      <w:bookmarkStart w:id="27" w:name="_Toc54643708"/>
      <w:bookmarkStart w:id="28" w:name="_Toc46743511"/>
      <w:r>
        <w:rPr>
          <w:b/>
        </w:rPr>
        <w:t xml:space="preserve">Требования к </w:t>
      </w:r>
      <w:bookmarkEnd w:id="28"/>
      <w:r>
        <w:rPr>
          <w:b/>
        </w:rPr>
        <w:t>качеству услуг</w:t>
      </w:r>
      <w:bookmarkEnd w:id="27"/>
    </w:p>
    <w:p>
      <w:pPr>
        <w:pStyle w:val="Normal"/>
        <w:widowControl w:val="false"/>
        <w:tabs>
          <w:tab w:val="clear" w:pos="720"/>
          <w:tab w:val="left" w:pos="426" w:leader="none"/>
        </w:tabs>
        <w:jc w:val="both"/>
        <w:rPr>
          <w:b/>
          <w:sz w:val="24"/>
          <w:szCs w:val="24"/>
        </w:rPr>
      </w:pPr>
      <w:bookmarkStart w:id="29" w:name="_Toc51339698"/>
      <w:r>
        <w:rPr>
          <w:b/>
          <w:sz w:val="24"/>
          <w:szCs w:val="24"/>
        </w:rPr>
        <w:t>Табл</w:t>
      </w:r>
      <w:r>
        <w:rPr>
          <w:b/>
          <w:sz w:val="24"/>
          <w:szCs w:val="24"/>
          <w:shd w:fill="auto" w:val="clear"/>
        </w:rPr>
        <w:t>ица 6. Тр</w:t>
      </w:r>
      <w:r>
        <w:rPr>
          <w:b/>
          <w:sz w:val="24"/>
          <w:szCs w:val="24"/>
        </w:rPr>
        <w:t xml:space="preserve">ебования к </w:t>
      </w:r>
      <w:bookmarkEnd w:id="29"/>
      <w:r>
        <w:rPr>
          <w:b/>
          <w:sz w:val="24"/>
          <w:szCs w:val="24"/>
        </w:rPr>
        <w:t>качеству услуг</w:t>
      </w:r>
      <w:bookmarkEnd w:id="26"/>
    </w:p>
    <w:p>
      <w:pPr>
        <w:pStyle w:val="Normal"/>
        <w:widowControl w:val="false"/>
        <w:tabs>
          <w:tab w:val="clear" w:pos="720"/>
          <w:tab w:val="left" w:pos="426" w:leader="none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Наименование услуг/этапа услуг: </w:t>
      </w:r>
      <w:r>
        <w:rPr>
          <w:b w:val="false"/>
          <w:bCs w:val="false"/>
          <w:sz w:val="24"/>
          <w:szCs w:val="24"/>
        </w:rPr>
        <w:t>ОКПД2 81.30.10.000 Оказание услуг по покосу травы и сорной растительности на объектах филиала ПАО «РусГидро» - «Дагестанский филиал»</w:t>
      </w:r>
      <w:r>
        <w:rPr>
          <w:b/>
          <w:sz w:val="24"/>
          <w:szCs w:val="24"/>
        </w:rPr>
        <w:t xml:space="preserve"> </w:t>
      </w:r>
    </w:p>
    <w:tbl>
      <w:tblPr>
        <w:tblStyle w:val="a5"/>
        <w:tblW w:w="14885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851"/>
        <w:gridCol w:w="2693"/>
        <w:gridCol w:w="2977"/>
        <w:gridCol w:w="2692"/>
        <w:gridCol w:w="2927"/>
        <w:gridCol w:w="2744"/>
      </w:tblGrid>
      <w:tr>
        <w:trPr>
          <w:trHeight w:val="20" w:hRule="atLeast"/>
        </w:trPr>
        <w:tc>
          <w:tcPr>
            <w:tcW w:w="851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  <w:kern w:val="0"/>
                <w:sz w:val="18"/>
                <w:szCs w:val="18"/>
                <w:lang w:val="ru-RU" w:bidi="ar-SA"/>
              </w:rPr>
              <w:t xml:space="preserve">№ </w:t>
            </w:r>
            <w:r>
              <w:rPr>
                <w:b/>
                <w:bCs/>
                <w:kern w:val="0"/>
                <w:sz w:val="18"/>
                <w:szCs w:val="18"/>
                <w:lang w:val="ru-RU" w:bidi="ar-SA"/>
              </w:rPr>
              <w:t>п/п</w:t>
            </w:r>
          </w:p>
        </w:tc>
        <w:tc>
          <w:tcPr>
            <w:tcW w:w="2693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  <w:kern w:val="0"/>
                <w:sz w:val="18"/>
                <w:szCs w:val="18"/>
                <w:lang w:val="ru-RU" w:bidi="ar-SA"/>
              </w:rPr>
              <w:t>Наименование параметра</w:t>
            </w:r>
          </w:p>
        </w:tc>
        <w:tc>
          <w:tcPr>
            <w:tcW w:w="2977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  <w:kern w:val="0"/>
                <w:sz w:val="18"/>
                <w:szCs w:val="18"/>
                <w:lang w:val="ru-RU" w:bidi="ar-SA"/>
              </w:rPr>
              <w:t>Требование заказчика</w:t>
            </w:r>
          </w:p>
        </w:tc>
        <w:tc>
          <w:tcPr>
            <w:tcW w:w="561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  <w:kern w:val="0"/>
                <w:sz w:val="18"/>
                <w:szCs w:val="18"/>
                <w:lang w:val="ru-RU" w:bidi="ar-SA"/>
              </w:rPr>
              <w:t>Способ подтверждения участником соответствия требованиям</w:t>
            </w:r>
          </w:p>
        </w:tc>
        <w:tc>
          <w:tcPr>
            <w:tcW w:w="2744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  <w:kern w:val="0"/>
                <w:sz w:val="18"/>
                <w:szCs w:val="18"/>
                <w:lang w:val="ru-RU" w:bidi="ar-SA"/>
              </w:rPr>
              <w:t>Предложение участника по характеристикам и параметрам</w:t>
            </w:r>
          </w:p>
        </w:tc>
      </w:tr>
      <w:tr>
        <w:trPr>
          <w:trHeight w:val="20" w:hRule="atLeast"/>
        </w:trPr>
        <w:tc>
          <w:tcPr>
            <w:tcW w:w="851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tcW w:w="2693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tcW w:w="297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tcW w:w="269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  <w:kern w:val="0"/>
                <w:sz w:val="18"/>
                <w:szCs w:val="18"/>
                <w:lang w:val="ru-RU" w:bidi="ar-SA"/>
              </w:rPr>
              <w:t>Согласие с требованием/ указание характеристик</w:t>
            </w:r>
          </w:p>
        </w:tc>
        <w:tc>
          <w:tcPr>
            <w:tcW w:w="292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  <w:kern w:val="0"/>
                <w:sz w:val="18"/>
                <w:szCs w:val="18"/>
                <w:lang w:val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744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  <w:kern w:val="0"/>
                <w:sz w:val="18"/>
                <w:szCs w:val="18"/>
                <w:lang w:val="ru-RU" w:bidi="ar-SA"/>
              </w:rPr>
              <w:t>1</w:t>
            </w:r>
          </w:p>
        </w:tc>
        <w:tc>
          <w:tcPr>
            <w:tcW w:w="269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  <w:kern w:val="0"/>
                <w:sz w:val="18"/>
                <w:szCs w:val="18"/>
                <w:lang w:val="ru-RU" w:bidi="ar-SA"/>
              </w:rPr>
              <w:t>2</w:t>
            </w:r>
          </w:p>
        </w:tc>
        <w:tc>
          <w:tcPr>
            <w:tcW w:w="297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  <w:kern w:val="0"/>
                <w:sz w:val="18"/>
                <w:szCs w:val="18"/>
                <w:lang w:val="ru-RU" w:bidi="ar-SA"/>
              </w:rPr>
              <w:t>3</w:t>
            </w:r>
          </w:p>
        </w:tc>
        <w:tc>
          <w:tcPr>
            <w:tcW w:w="269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  <w:kern w:val="0"/>
                <w:sz w:val="18"/>
                <w:szCs w:val="18"/>
                <w:lang w:val="ru-RU" w:bidi="ar-SA"/>
              </w:rPr>
              <w:t>4</w:t>
            </w:r>
          </w:p>
        </w:tc>
        <w:tc>
          <w:tcPr>
            <w:tcW w:w="292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  <w:kern w:val="0"/>
                <w:sz w:val="18"/>
                <w:szCs w:val="18"/>
                <w:lang w:val="ru-RU" w:bidi="ar-SA"/>
              </w:rPr>
              <w:t>5</w:t>
            </w:r>
          </w:p>
        </w:tc>
        <w:tc>
          <w:tcPr>
            <w:tcW w:w="274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  <w:kern w:val="0"/>
                <w:sz w:val="18"/>
                <w:szCs w:val="18"/>
                <w:lang w:val="ru-RU" w:bidi="ar-SA"/>
              </w:rPr>
              <w:t>6</w:t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7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</w:rPr>
            </w:pPr>
            <w:r>
              <w:rPr>
                <w:b/>
                <w:kern w:val="0"/>
                <w:sz w:val="18"/>
                <w:szCs w:val="18"/>
                <w:lang w:val="ru-RU" w:bidi="ar-SA"/>
              </w:rPr>
              <w:t>Требования к оказанию услуг</w:t>
            </w:r>
          </w:p>
        </w:tc>
        <w:tc>
          <w:tcPr>
            <w:tcW w:w="2692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b/>
                <w:kern w:val="0"/>
                <w:sz w:val="18"/>
                <w:szCs w:val="18"/>
                <w:lang w:val="ru-RU" w:bidi="ar-SA"/>
              </w:rPr>
              <w:t>-//-</w:t>
            </w:r>
          </w:p>
        </w:tc>
        <w:tc>
          <w:tcPr>
            <w:tcW w:w="2927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b/>
                <w:kern w:val="0"/>
                <w:sz w:val="18"/>
                <w:szCs w:val="18"/>
                <w:lang w:val="ru-RU" w:bidi="ar-SA"/>
              </w:rPr>
              <w:t>-//-</w:t>
            </w:r>
          </w:p>
        </w:tc>
        <w:tc>
          <w:tcPr>
            <w:tcW w:w="2744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b/>
                <w:kern w:val="0"/>
                <w:sz w:val="18"/>
                <w:szCs w:val="18"/>
                <w:lang w:val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uppressAutoHyphens w:val="true"/>
              <w:spacing w:before="0" w:after="0"/>
              <w:ind w:left="-117" w:firstLine="142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tcW w:w="567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</w:rPr>
            </w:pPr>
            <w:r>
              <w:rPr>
                <w:b/>
                <w:kern w:val="0"/>
                <w:sz w:val="18"/>
                <w:szCs w:val="18"/>
                <w:lang w:val="ru-RU" w:bidi="ar-SA"/>
              </w:rPr>
              <w:t>Общие требования к оказанию услуг</w:t>
            </w:r>
          </w:p>
        </w:tc>
        <w:tc>
          <w:tcPr>
            <w:tcW w:w="2692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b/>
                <w:kern w:val="0"/>
                <w:sz w:val="18"/>
                <w:szCs w:val="18"/>
                <w:lang w:val="ru-RU" w:bidi="ar-SA"/>
              </w:rPr>
              <w:t>-//-</w:t>
            </w:r>
          </w:p>
        </w:tc>
        <w:tc>
          <w:tcPr>
            <w:tcW w:w="2927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b/>
                <w:kern w:val="0"/>
                <w:sz w:val="18"/>
                <w:szCs w:val="18"/>
                <w:lang w:val="ru-RU" w:bidi="ar-SA"/>
              </w:rPr>
              <w:t>-//-</w:t>
            </w:r>
          </w:p>
        </w:tc>
        <w:tc>
          <w:tcPr>
            <w:tcW w:w="2744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b/>
                <w:kern w:val="0"/>
                <w:sz w:val="18"/>
                <w:szCs w:val="18"/>
                <w:lang w:val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69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x-none" w:bidi="ar-SA"/>
              </w:rPr>
              <w:t>Общие требования к оказанию услуг</w:t>
            </w:r>
          </w:p>
        </w:tc>
        <w:tc>
          <w:tcPr>
            <w:tcW w:w="297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x-none" w:bidi="ar-SA"/>
              </w:rPr>
              <w:t>Оказание услуги не должно отрицательно влиять на работоспособность систем, установленных по периметрам объектов.</w:t>
            </w:r>
          </w:p>
        </w:tc>
        <w:tc>
          <w:tcPr>
            <w:tcW w:w="269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bidi="ar-SA"/>
              </w:rPr>
              <w:t>Согласие с требованиями</w:t>
            </w:r>
          </w:p>
        </w:tc>
        <w:tc>
          <w:tcPr>
            <w:tcW w:w="2927" w:type="dxa"/>
            <w:tcBorders/>
            <w:shd w:color="auto" w:fill="auto" w:val="clear"/>
          </w:tcPr>
          <w:p>
            <w:pPr>
              <w:pStyle w:val="Style16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left"/>
              <w:outlineLvl w:val="2"/>
              <w:rPr>
                <w:rFonts w:ascii="Times New Roman" w:hAnsi="Times New Roman" w:eastAsia="Times New Roman" w:cs="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"/>
                <w:kern w:val="0"/>
                <w:sz w:val="18"/>
                <w:szCs w:val="18"/>
                <w:lang w:val="ru-RU" w:eastAsia="ru-RU" w:bidi="ar-SA"/>
              </w:rPr>
            </w:r>
          </w:p>
        </w:tc>
        <w:tc>
          <w:tcPr>
            <w:tcW w:w="274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uppressAutoHyphens w:val="true"/>
              <w:spacing w:before="0" w:after="0"/>
              <w:ind w:left="-117" w:firstLine="142"/>
              <w:contextualSpacing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</w:r>
          </w:p>
        </w:tc>
        <w:tc>
          <w:tcPr>
            <w:tcW w:w="567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</w:rPr>
            </w:pPr>
            <w:r>
              <w:rPr>
                <w:b/>
                <w:kern w:val="0"/>
                <w:sz w:val="18"/>
                <w:szCs w:val="18"/>
                <w:lang w:val="ru-RU" w:bidi="ar-SA"/>
              </w:rPr>
              <w:t>Требования к процедурам оказания услуг</w:t>
            </w:r>
          </w:p>
        </w:tc>
        <w:tc>
          <w:tcPr>
            <w:tcW w:w="2692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b/>
                <w:kern w:val="0"/>
                <w:sz w:val="18"/>
                <w:szCs w:val="18"/>
                <w:lang w:val="ru-RU" w:bidi="ar-SA"/>
              </w:rPr>
              <w:t>-//-</w:t>
            </w:r>
          </w:p>
        </w:tc>
        <w:tc>
          <w:tcPr>
            <w:tcW w:w="2927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b/>
                <w:kern w:val="0"/>
                <w:sz w:val="18"/>
                <w:szCs w:val="18"/>
                <w:lang w:val="ru-RU" w:bidi="ar-SA"/>
              </w:rPr>
              <w:t>-//-</w:t>
            </w:r>
          </w:p>
        </w:tc>
        <w:tc>
          <w:tcPr>
            <w:tcW w:w="2744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b/>
                <w:kern w:val="0"/>
                <w:sz w:val="18"/>
                <w:szCs w:val="18"/>
                <w:lang w:val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x-none" w:bidi="ar-SA"/>
              </w:rPr>
              <w:t xml:space="preserve">Покос травы, </w:t>
            </w:r>
            <w:r>
              <w:rPr>
                <w:kern w:val="0"/>
                <w:sz w:val="18"/>
                <w:szCs w:val="18"/>
                <w:lang w:val="ru-RU" w:bidi="ar-SA"/>
              </w:rPr>
              <w:t>уборка территории и вывоз мусора</w:t>
            </w:r>
          </w:p>
        </w:tc>
        <w:tc>
          <w:tcPr>
            <w:tcW w:w="29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x-none" w:bidi="ar-SA"/>
              </w:rPr>
              <w:t>Согласно Заявок представителя филиала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bidi="ar-SA"/>
              </w:rPr>
              <w:t>Согласие с требованиями</w:t>
            </w:r>
          </w:p>
        </w:tc>
        <w:tc>
          <w:tcPr>
            <w:tcW w:w="2927" w:type="dxa"/>
            <w:tcBorders/>
          </w:tcPr>
          <w:p>
            <w:pPr>
              <w:pStyle w:val="Style16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left"/>
              <w:outlineLvl w:val="2"/>
              <w:rPr>
                <w:rFonts w:ascii="Times New Roman" w:hAnsi="Times New Roman" w:eastAsia="Times New Roman" w:cs=""/>
                <w:b w:val="false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"/>
                <w:b w:val="false"/>
                <w:kern w:val="0"/>
                <w:sz w:val="18"/>
                <w:szCs w:val="18"/>
                <w:lang w:val="ru-RU" w:eastAsia="ru-RU" w:bidi="ar-SA"/>
              </w:rPr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x-none" w:bidi="ar-SA"/>
              </w:rPr>
              <w:t>Уборка мусора, обработка я</w:t>
            </w:r>
            <w:r>
              <w:rPr>
                <w:kern w:val="0"/>
                <w:sz w:val="18"/>
                <w:szCs w:val="18"/>
                <w:lang w:val="ru-RU" w:bidi="ar-SA"/>
              </w:rPr>
              <w:t>дохимикатами согласно ведомость объемов работ (приложение № 1 к настоящему ТТ)</w:t>
            </w:r>
          </w:p>
        </w:tc>
        <w:tc>
          <w:tcPr>
            <w:tcW w:w="29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x-none" w:bidi="ar-SA"/>
              </w:rPr>
              <w:t>Согласно Заявок представителя филиала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bidi="ar-SA"/>
              </w:rPr>
              <w:t>Согласие с требованиями</w:t>
            </w:r>
          </w:p>
        </w:tc>
        <w:tc>
          <w:tcPr>
            <w:tcW w:w="2927" w:type="dxa"/>
            <w:tcBorders/>
          </w:tcPr>
          <w:p>
            <w:pPr>
              <w:pStyle w:val="Style16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left"/>
              <w:outlineLvl w:val="2"/>
              <w:rPr>
                <w:rFonts w:ascii="Times New Roman" w:hAnsi="Times New Roman" w:eastAsia="Times New Roman" w:cs=""/>
                <w:b w:val="false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"/>
                <w:b w:val="false"/>
                <w:kern w:val="0"/>
                <w:sz w:val="18"/>
                <w:szCs w:val="18"/>
                <w:lang w:val="ru-RU" w:eastAsia="ru-RU" w:bidi="ar-SA"/>
              </w:rPr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uppressAutoHyphens w:val="true"/>
              <w:spacing w:before="0" w:after="0"/>
              <w:ind w:left="-117" w:firstLine="14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7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</w:rPr>
            </w:pPr>
            <w:r>
              <w:rPr>
                <w:b/>
                <w:kern w:val="0"/>
                <w:sz w:val="18"/>
                <w:szCs w:val="18"/>
                <w:lang w:val="ru-RU" w:bidi="ar-SA"/>
              </w:rPr>
              <w:t>Требования к применяемым при оказании услуг оборудованию и материалам</w:t>
            </w:r>
          </w:p>
        </w:tc>
        <w:tc>
          <w:tcPr>
            <w:tcW w:w="2692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b/>
                <w:kern w:val="0"/>
                <w:sz w:val="18"/>
                <w:szCs w:val="18"/>
                <w:lang w:val="ru-RU" w:bidi="ar-SA"/>
              </w:rPr>
              <w:t>-//-</w:t>
            </w:r>
          </w:p>
        </w:tc>
        <w:tc>
          <w:tcPr>
            <w:tcW w:w="2927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b/>
                <w:kern w:val="0"/>
                <w:sz w:val="18"/>
                <w:szCs w:val="18"/>
                <w:lang w:val="ru-RU" w:bidi="ar-SA"/>
              </w:rPr>
              <w:t>-//-</w:t>
            </w:r>
          </w:p>
        </w:tc>
        <w:tc>
          <w:tcPr>
            <w:tcW w:w="2744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b/>
                <w:kern w:val="0"/>
                <w:sz w:val="18"/>
                <w:szCs w:val="18"/>
                <w:lang w:val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7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bidi="ar-SA"/>
              </w:rPr>
              <w:t>В соответствии с п. 1.5 настоящих Технических требований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bidi="ar-SA"/>
              </w:rPr>
              <w:t>Согласие с требованиями</w:t>
            </w:r>
          </w:p>
        </w:tc>
        <w:tc>
          <w:tcPr>
            <w:tcW w:w="2927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uppressAutoHyphens w:val="true"/>
              <w:spacing w:before="0" w:after="0"/>
              <w:ind w:left="-117" w:firstLine="14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7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</w:rPr>
            </w:pPr>
            <w:r>
              <w:rPr>
                <w:b/>
                <w:kern w:val="0"/>
                <w:sz w:val="18"/>
                <w:szCs w:val="18"/>
                <w:lang w:val="ru-RU" w:bidi="ar-SA"/>
              </w:rPr>
              <w:t>Требования к персоналу исполнителя</w:t>
            </w:r>
          </w:p>
        </w:tc>
        <w:tc>
          <w:tcPr>
            <w:tcW w:w="2692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b/>
                <w:kern w:val="0"/>
                <w:sz w:val="18"/>
                <w:szCs w:val="18"/>
                <w:lang w:val="ru-RU" w:bidi="ar-SA"/>
              </w:rPr>
              <w:t>-//-</w:t>
            </w:r>
          </w:p>
        </w:tc>
        <w:tc>
          <w:tcPr>
            <w:tcW w:w="2927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b/>
                <w:kern w:val="0"/>
                <w:sz w:val="18"/>
                <w:szCs w:val="18"/>
                <w:lang w:val="ru-RU" w:bidi="ar-SA"/>
              </w:rPr>
              <w:t>-//-</w:t>
            </w:r>
          </w:p>
        </w:tc>
        <w:tc>
          <w:tcPr>
            <w:tcW w:w="2744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b/>
                <w:kern w:val="0"/>
                <w:sz w:val="18"/>
                <w:szCs w:val="18"/>
                <w:lang w:val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70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bidi="ar-SA"/>
              </w:rPr>
              <w:t>В соответствии с п. 1.6  настоящих Технических требований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bidi="ar-SA"/>
              </w:rPr>
              <w:t>Согласие с требованиями</w:t>
            </w:r>
          </w:p>
        </w:tc>
        <w:tc>
          <w:tcPr>
            <w:tcW w:w="2927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7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</w:rPr>
            </w:pPr>
            <w:r>
              <w:rPr>
                <w:b/>
                <w:bCs/>
                <w:kern w:val="0"/>
                <w:sz w:val="18"/>
                <w:szCs w:val="18"/>
                <w:lang w:val="ru-RU" w:bidi="ar-SA"/>
              </w:rPr>
              <w:t>Требования к результатам у</w:t>
            </w:r>
            <w:r>
              <w:rPr>
                <w:b/>
                <w:kern w:val="0"/>
                <w:sz w:val="18"/>
                <w:szCs w:val="18"/>
                <w:lang w:val="ru-RU" w:bidi="ar-SA"/>
              </w:rPr>
              <w:t>слуг</w:t>
            </w:r>
          </w:p>
        </w:tc>
        <w:tc>
          <w:tcPr>
            <w:tcW w:w="2692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b/>
                <w:kern w:val="0"/>
                <w:sz w:val="18"/>
                <w:szCs w:val="18"/>
                <w:lang w:val="ru-RU" w:bidi="ar-SA"/>
              </w:rPr>
              <w:t>-//-</w:t>
            </w:r>
          </w:p>
        </w:tc>
        <w:tc>
          <w:tcPr>
            <w:tcW w:w="2927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b/>
                <w:kern w:val="0"/>
                <w:sz w:val="18"/>
                <w:szCs w:val="18"/>
                <w:lang w:val="ru-RU" w:bidi="ar-SA"/>
              </w:rPr>
              <w:t>-//-</w:t>
            </w:r>
          </w:p>
        </w:tc>
        <w:tc>
          <w:tcPr>
            <w:tcW w:w="2744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b/>
                <w:kern w:val="0"/>
                <w:sz w:val="18"/>
                <w:szCs w:val="18"/>
                <w:lang w:val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uppressAutoHyphens w:val="true"/>
              <w:spacing w:before="0" w:after="0"/>
              <w:ind w:left="-117" w:firstLine="14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7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</w:rPr>
            </w:pPr>
            <w:r>
              <w:rPr>
                <w:b/>
                <w:bCs/>
                <w:kern w:val="0"/>
                <w:sz w:val="18"/>
                <w:szCs w:val="18"/>
                <w:lang w:val="ru-RU" w:bidi="ar-SA"/>
              </w:rPr>
              <w:t>Общие требования к результатам услуг</w:t>
            </w:r>
          </w:p>
        </w:tc>
        <w:tc>
          <w:tcPr>
            <w:tcW w:w="2692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b/>
                <w:kern w:val="0"/>
                <w:sz w:val="18"/>
                <w:szCs w:val="18"/>
                <w:lang w:val="ru-RU" w:bidi="ar-SA"/>
              </w:rPr>
              <w:t>-//-</w:t>
            </w:r>
          </w:p>
        </w:tc>
        <w:tc>
          <w:tcPr>
            <w:tcW w:w="2927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b/>
                <w:kern w:val="0"/>
                <w:sz w:val="18"/>
                <w:szCs w:val="18"/>
                <w:lang w:val="ru-RU" w:bidi="ar-SA"/>
              </w:rPr>
              <w:t>-//-</w:t>
            </w:r>
          </w:p>
        </w:tc>
        <w:tc>
          <w:tcPr>
            <w:tcW w:w="2744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b/>
                <w:kern w:val="0"/>
                <w:sz w:val="18"/>
                <w:szCs w:val="18"/>
                <w:lang w:val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7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eastAsia="x-none" w:bidi="ar-SA"/>
              </w:rPr>
              <w:t>При осмотре, производимом Заказчиком, отсутствует скопление травы на участках (мусора).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eastAsia="x-none" w:bidi="ar-SA"/>
              </w:rPr>
              <w:t>После проведения работ Исполнитель сдает выполненные работы Заказчику. Заказчик имеет право назначить своего представителя, который от имени Заказчика осуществляет контроль за ходом выполняемых работ, проверяет и принимает выполненные работы.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eastAsia="x-none" w:bidi="ar-SA"/>
              </w:rPr>
              <w:t>После проведения работ Исполнитель сдает выполненные работы Заказчику. Заказчик имеет право назначить своего представителя, который от имени Заказчика осуществляет контроль за ходом выполняемых работ, проверяет и принимает выполненные работы.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2927" w:type="dxa"/>
            <w:tcBorders/>
          </w:tcPr>
          <w:p>
            <w:pPr>
              <w:pStyle w:val="Style16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left"/>
              <w:outlineLvl w:val="2"/>
              <w:rPr>
                <w:rFonts w:ascii="Times New Roman" w:hAnsi="Times New Roman" w:eastAsia="Times New Roman" w:cs=""/>
                <w:b w:val="false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Times New Roman" w:cs=""/>
                <w:b w:val="false"/>
                <w:kern w:val="0"/>
                <w:sz w:val="18"/>
                <w:szCs w:val="18"/>
                <w:lang w:val="ru-RU" w:eastAsia="ru-RU" w:bidi="ar-SA"/>
              </w:rPr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uppressAutoHyphens w:val="true"/>
              <w:spacing w:before="0" w:after="0"/>
              <w:ind w:left="-117" w:firstLine="14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7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</w:rPr>
            </w:pPr>
            <w:r>
              <w:rPr>
                <w:b/>
                <w:kern w:val="0"/>
                <w:sz w:val="18"/>
                <w:szCs w:val="18"/>
                <w:lang w:val="ru-RU" w:bidi="ar-SA"/>
              </w:rPr>
              <w:t>Требования к безопасности использования результата оказания услуг</w:t>
            </w:r>
          </w:p>
        </w:tc>
        <w:tc>
          <w:tcPr>
            <w:tcW w:w="2692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b/>
                <w:kern w:val="0"/>
                <w:sz w:val="18"/>
                <w:szCs w:val="18"/>
                <w:lang w:val="ru-RU" w:bidi="ar-SA"/>
              </w:rPr>
              <w:t>-//-</w:t>
            </w:r>
          </w:p>
        </w:tc>
        <w:tc>
          <w:tcPr>
            <w:tcW w:w="2927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b/>
                <w:kern w:val="0"/>
                <w:sz w:val="18"/>
                <w:szCs w:val="18"/>
                <w:lang w:val="ru-RU" w:bidi="ar-SA"/>
              </w:rPr>
              <w:t>-//-</w:t>
            </w:r>
          </w:p>
        </w:tc>
        <w:tc>
          <w:tcPr>
            <w:tcW w:w="2744" w:type="dxa"/>
            <w:tcBorders/>
          </w:tcPr>
          <w:p>
            <w:pPr>
              <w:pStyle w:val="Normal"/>
              <w:keepNext w:val="true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b/>
                <w:kern w:val="0"/>
                <w:sz w:val="18"/>
                <w:szCs w:val="18"/>
                <w:lang w:val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1"/>
              </w:numPr>
              <w:suppressAutoHyphens w:val="true"/>
              <w:spacing w:before="0" w:after="0"/>
              <w:ind w:left="1224" w:hanging="1199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7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eastAsia="x-none" w:bidi="ar-SA"/>
              </w:rPr>
              <w:t>Исполнитель обязан обеспечить безопасность для жизни и здоровья своих сотрудников и третьих лиц, а также предотвращение причинения вреда имуществу указанных лиц.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eastAsia="x-none" w:bidi="ar-SA"/>
              </w:rPr>
              <w:t>Исполнитель несет ответственность за все действия своего персонала, в том числе и за соблюдение персоналом законодательства Российской Федерации. Исполнитель принимает меры по предотвращению возможного причинения вреда, связанного с оказанием услуг, а также по ликвидации последствий нанесенного ущерба.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eastAsia="x-none" w:bidi="ar-SA"/>
              </w:rPr>
              <w:t>Исполнитель несет полную ответственность за безопасное оказание услуг.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eastAsia="x-none" w:bidi="ar-SA"/>
              </w:rPr>
              <w:t>Исполнитель обязан принять все необходимые меры по обеспечению безопасности при подготовке к оказанию услуг, при оказании услуг, после оказания услуг. Всю ответственность за обеспечение безопасности третьих лиц (ограждение опасной территории, сопровождение и т.п.) несет Исполнитель. Исполнитель несет ответственность за сохранность находящегося в зоне оказания услуг имущества филиалов, Заказчику и третьим лицам, возмещается из средств Исполнителя.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bidi="ar-SA"/>
              </w:rPr>
              <w:t>Согласие с требованиями</w:t>
            </w:r>
          </w:p>
        </w:tc>
        <w:tc>
          <w:tcPr>
            <w:tcW w:w="2927" w:type="dxa"/>
            <w:tcBorders/>
          </w:tcPr>
          <w:p>
            <w:pPr>
              <w:pStyle w:val="Normal"/>
              <w:widowControl w:val="false"/>
              <w:tabs>
                <w:tab w:val="clear" w:pos="720"/>
                <w:tab w:val="left" w:pos="426" w:leader="none"/>
              </w:tabs>
              <w:suppressAutoHyphens w:val="true"/>
              <w:spacing w:before="0" w:after="0"/>
              <w:jc w:val="lef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7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</w:rPr>
            </w:pPr>
            <w:r>
              <w:rPr>
                <w:b/>
                <w:kern w:val="0"/>
                <w:sz w:val="18"/>
                <w:szCs w:val="18"/>
                <w:lang w:val="ru-RU" w:bidi="ar-SA"/>
              </w:rPr>
              <w:t>Прочие требования к оказанию услуг</w:t>
            </w:r>
          </w:p>
        </w:tc>
        <w:tc>
          <w:tcPr>
            <w:tcW w:w="26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kern w:val="0"/>
                <w:sz w:val="18"/>
                <w:szCs w:val="18"/>
                <w:lang w:val="ru-RU" w:bidi="ar-SA"/>
              </w:rPr>
              <w:t>-//-</w:t>
            </w:r>
          </w:p>
        </w:tc>
        <w:tc>
          <w:tcPr>
            <w:tcW w:w="292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b/>
                <w:kern w:val="0"/>
                <w:sz w:val="18"/>
                <w:szCs w:val="18"/>
                <w:lang w:val="ru-RU" w:bidi="ar-SA"/>
              </w:rPr>
              <w:t>-//-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b/>
                <w:kern w:val="0"/>
                <w:sz w:val="18"/>
                <w:szCs w:val="18"/>
                <w:lang w:val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1"/>
              </w:numPr>
              <w:suppressAutoHyphens w:val="true"/>
              <w:spacing w:before="0" w:after="0"/>
              <w:ind w:left="-117" w:firstLine="142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567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eastAsia="x-none" w:bidi="ar-SA"/>
              </w:rPr>
              <w:t>Периметр территории филиалов очищен от  мусора;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eastAsia="x-none" w:bidi="ar-SA"/>
              </w:rPr>
              <w:t>Исполнитель передает Заказчику акт приемки-сдачи оказанных услуг в двух экземплярах.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eastAsia="x-none" w:bidi="ar-SA"/>
              </w:rPr>
              <w:t>При несоответствии качества оказанных услуг требованиям Заказчика, Исполнитель устраняет все нарушения своими силами и за свой счет, а также возмещает все убытки, причиненные Заказчику в результате этих нарушений.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eastAsia="x-none" w:bidi="ar-SA"/>
              </w:rPr>
              <w:t>Недостатки оказанных услуг, обнаруженные в ходе приемки, фиксируются в соответствующем акте, подписываемом представителем Филиала и Исполнителем и с указанием срока и порядка их устранения.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bidi="ar-SA"/>
              </w:rPr>
              <w:t>Услуги оказываются в таком объёме, который позволяет продолжать эксплуатацию объекта без закупки Заказчиком дополнительных объёмов каких-либо материалов, оборудования и услуг. Услуги считаются оказанными после приёмки услуг комиссией филиала, с оформлением отчётной документации со стороны Исполнителя.</w:t>
            </w:r>
          </w:p>
        </w:tc>
        <w:tc>
          <w:tcPr>
            <w:tcW w:w="2692" w:type="dxa"/>
            <w:tcBorders/>
          </w:tcPr>
          <w:p>
            <w:pPr>
              <w:pStyle w:val="Style16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center"/>
              <w:outlineLvl w:val="2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 w:val="false"/>
                <w:kern w:val="0"/>
                <w:sz w:val="18"/>
                <w:szCs w:val="18"/>
                <w:lang w:val="ru-RU" w:eastAsia="ru-RU" w:bidi="ar-SA"/>
              </w:rPr>
              <w:t>Согласие с требованиями</w:t>
            </w:r>
          </w:p>
        </w:tc>
        <w:tc>
          <w:tcPr>
            <w:tcW w:w="2927" w:type="dxa"/>
            <w:tcBorders/>
          </w:tcPr>
          <w:p>
            <w:pPr>
              <w:pStyle w:val="Style16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center"/>
              <w:outlineLvl w:val="2"/>
              <w:rPr>
                <w:rFonts w:ascii="Times New Roman" w:hAnsi="Times New Roman" w:eastAsia="Calibri" w:cs="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ru-RU" w:eastAsia="ru-RU" w:bidi="ar-SA"/>
              </w:rPr>
            </w:r>
          </w:p>
        </w:tc>
        <w:tc>
          <w:tcPr>
            <w:tcW w:w="2744" w:type="dxa"/>
            <w:tcBorders/>
          </w:tcPr>
          <w:p>
            <w:pPr>
              <w:pStyle w:val="Style16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center"/>
              <w:outlineLvl w:val="2"/>
              <w:rPr>
                <w:rFonts w:ascii="Times New Roman" w:hAnsi="Times New Roman" w:eastAsia="Calibri" w:cs="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25" w:hanging="0"/>
              <w:contextualSpacing/>
              <w:jc w:val="left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bidi="ar-SA"/>
              </w:rPr>
              <w:t>4</w:t>
            </w:r>
          </w:p>
        </w:tc>
        <w:tc>
          <w:tcPr>
            <w:tcW w:w="567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b/>
                <w:bCs/>
                <w:kern w:val="0"/>
                <w:sz w:val="18"/>
                <w:szCs w:val="18"/>
                <w:lang w:val="ru-RU" w:eastAsia="x-none" w:bidi="ar-SA"/>
              </w:rPr>
              <w:t>Требования к безопасности использования результата оказания услуг</w:t>
            </w:r>
          </w:p>
        </w:tc>
        <w:tc>
          <w:tcPr>
            <w:tcW w:w="2692" w:type="dxa"/>
            <w:tcBorders/>
          </w:tcPr>
          <w:p>
            <w:pPr>
              <w:pStyle w:val="Style16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center"/>
              <w:outlineLvl w:val="2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 w:val="false"/>
                <w:kern w:val="0"/>
                <w:sz w:val="18"/>
                <w:szCs w:val="18"/>
                <w:lang w:val="ru-RU" w:eastAsia="ru-RU" w:bidi="ar-SA"/>
              </w:rPr>
              <w:t>-//-</w:t>
            </w:r>
          </w:p>
        </w:tc>
        <w:tc>
          <w:tcPr>
            <w:tcW w:w="2927" w:type="dxa"/>
            <w:tcBorders/>
          </w:tcPr>
          <w:p>
            <w:pPr>
              <w:pStyle w:val="Style16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center"/>
              <w:outlineLvl w:val="2"/>
              <w:rPr>
                <w:rFonts w:ascii="Times New Roman" w:hAnsi="Times New Roman"/>
              </w:rPr>
            </w:pPr>
            <w:r>
              <w:rPr>
                <w:rFonts w:eastAsia="Times New Roman" w:cs="Times New Roman" w:ascii="Calibri" w:hAnsi="Calibri"/>
                <w:kern w:val="0"/>
                <w:sz w:val="18"/>
                <w:szCs w:val="18"/>
                <w:lang w:val="ru-RU" w:eastAsia="ru-RU" w:bidi="ar-SA"/>
              </w:rPr>
              <w:t>-//-</w:t>
            </w:r>
          </w:p>
        </w:tc>
        <w:tc>
          <w:tcPr>
            <w:tcW w:w="2744" w:type="dxa"/>
            <w:tcBorders/>
          </w:tcPr>
          <w:p>
            <w:pPr>
              <w:pStyle w:val="Style16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center"/>
              <w:outlineLvl w:val="2"/>
              <w:rPr>
                <w:rFonts w:ascii="Times New Roman" w:hAnsi="Times New Roman"/>
              </w:rPr>
            </w:pPr>
            <w:r>
              <w:rPr>
                <w:rFonts w:eastAsia="Times New Roman" w:cs="Times New Roman" w:ascii="Calibri" w:hAnsi="Calibri"/>
                <w:kern w:val="0"/>
                <w:sz w:val="18"/>
                <w:szCs w:val="18"/>
                <w:lang w:val="ru-RU" w:eastAsia="ru-RU" w:bidi="ar-SA"/>
              </w:rPr>
              <w:t>-//-</w:t>
            </w:r>
          </w:p>
        </w:tc>
      </w:tr>
      <w:tr>
        <w:trPr>
          <w:trHeight w:val="991" w:hRule="atLeast"/>
        </w:trPr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25" w:hanging="0"/>
              <w:contextualSpacing/>
              <w:jc w:val="left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bidi="ar-SA"/>
              </w:rPr>
              <w:t>4.1.</w:t>
            </w:r>
          </w:p>
        </w:tc>
        <w:tc>
          <w:tcPr>
            <w:tcW w:w="567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eastAsia="x-none" w:bidi="ar-SA"/>
              </w:rPr>
              <w:t>При оказании услуг Исполнитель должен обеспечить безопасность собственного персонала, жизни, здоровья потребителей услуг и сохранность их имущества, а также соблюдать санитарно-эпидемиологические нормы.</w:t>
            </w:r>
          </w:p>
        </w:tc>
        <w:tc>
          <w:tcPr>
            <w:tcW w:w="2692" w:type="dxa"/>
            <w:tcBorders/>
          </w:tcPr>
          <w:p>
            <w:pPr>
              <w:pStyle w:val="Style16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center"/>
              <w:outlineLvl w:val="2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 w:val="false"/>
                <w:kern w:val="0"/>
                <w:sz w:val="18"/>
                <w:szCs w:val="18"/>
                <w:lang w:val="ru-RU" w:eastAsia="ru-RU" w:bidi="ar-SA"/>
              </w:rPr>
              <w:t>Согласие с требованиями</w:t>
            </w:r>
          </w:p>
        </w:tc>
        <w:tc>
          <w:tcPr>
            <w:tcW w:w="2927" w:type="dxa"/>
            <w:tcBorders/>
          </w:tcPr>
          <w:p>
            <w:pPr>
              <w:pStyle w:val="Style16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center"/>
              <w:outlineLvl w:val="2"/>
              <w:rPr>
                <w:rFonts w:ascii="Times New Roman" w:hAnsi="Times New Roman" w:eastAsia="Calibri" w:cs="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ru-RU" w:eastAsia="ru-RU" w:bidi="ar-SA"/>
              </w:rPr>
            </w:r>
          </w:p>
        </w:tc>
        <w:tc>
          <w:tcPr>
            <w:tcW w:w="2744" w:type="dxa"/>
            <w:tcBorders/>
          </w:tcPr>
          <w:p>
            <w:pPr>
              <w:pStyle w:val="Style16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center"/>
              <w:outlineLvl w:val="2"/>
              <w:rPr>
                <w:rFonts w:ascii="Times New Roman" w:hAnsi="Times New Roman" w:eastAsia="Calibri" w:cs="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25" w:hanging="0"/>
              <w:contextualSpacing/>
              <w:jc w:val="left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bidi="ar-SA"/>
              </w:rPr>
              <w:t>5</w:t>
            </w:r>
          </w:p>
        </w:tc>
        <w:tc>
          <w:tcPr>
            <w:tcW w:w="567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b/>
                <w:bCs/>
                <w:kern w:val="0"/>
                <w:sz w:val="18"/>
                <w:szCs w:val="18"/>
                <w:lang w:val="ru-RU" w:eastAsia="x-none" w:bidi="ar-SA"/>
              </w:rPr>
              <w:t>Требования к приемке результата оказания услуг</w:t>
            </w:r>
          </w:p>
        </w:tc>
        <w:tc>
          <w:tcPr>
            <w:tcW w:w="2692" w:type="dxa"/>
            <w:tcBorders/>
          </w:tcPr>
          <w:p>
            <w:pPr>
              <w:pStyle w:val="Style16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center"/>
              <w:outlineLvl w:val="2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 w:val="false"/>
                <w:kern w:val="0"/>
                <w:sz w:val="18"/>
                <w:szCs w:val="18"/>
                <w:lang w:val="ru-RU" w:eastAsia="ru-RU" w:bidi="ar-SA"/>
              </w:rPr>
              <w:t>-//-</w:t>
            </w:r>
          </w:p>
        </w:tc>
        <w:tc>
          <w:tcPr>
            <w:tcW w:w="2927" w:type="dxa"/>
            <w:tcBorders/>
          </w:tcPr>
          <w:p>
            <w:pPr>
              <w:pStyle w:val="Style16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center"/>
              <w:outlineLvl w:val="2"/>
              <w:rPr>
                <w:rFonts w:ascii="Times New Roman" w:hAnsi="Times New Roman"/>
              </w:rPr>
            </w:pPr>
            <w:r>
              <w:rPr>
                <w:rFonts w:eastAsia="Times New Roman" w:cs="Times New Roman" w:ascii="Calibri" w:hAnsi="Calibri"/>
                <w:kern w:val="0"/>
                <w:sz w:val="18"/>
                <w:szCs w:val="18"/>
                <w:lang w:val="ru-RU" w:eastAsia="ru-RU" w:bidi="ar-SA"/>
              </w:rPr>
              <w:t>-//-</w:t>
            </w:r>
          </w:p>
        </w:tc>
        <w:tc>
          <w:tcPr>
            <w:tcW w:w="2744" w:type="dxa"/>
            <w:tcBorders/>
          </w:tcPr>
          <w:p>
            <w:pPr>
              <w:pStyle w:val="Style16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center"/>
              <w:outlineLvl w:val="2"/>
              <w:rPr>
                <w:rFonts w:ascii="Times New Roman" w:hAnsi="Times New Roman"/>
              </w:rPr>
            </w:pPr>
            <w:r>
              <w:rPr>
                <w:rFonts w:eastAsia="Times New Roman" w:cs="Times New Roman" w:ascii="Calibri" w:hAnsi="Calibri"/>
                <w:kern w:val="0"/>
                <w:sz w:val="18"/>
                <w:szCs w:val="18"/>
                <w:lang w:val="ru-RU" w:eastAsia="ru-RU" w:bidi="ar-SA"/>
              </w:rPr>
              <w:t>-//-</w:t>
            </w:r>
          </w:p>
        </w:tc>
      </w:tr>
      <w:tr>
        <w:trPr>
          <w:trHeight w:val="1332" w:hRule="atLeast"/>
        </w:trPr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25" w:hanging="0"/>
              <w:contextualSpacing/>
              <w:jc w:val="left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bidi="ar-SA"/>
              </w:rPr>
              <w:t>5.1.</w:t>
            </w:r>
          </w:p>
        </w:tc>
        <w:tc>
          <w:tcPr>
            <w:tcW w:w="567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  <w:sz w:val="18"/>
                <w:szCs w:val="18"/>
                <w:lang w:eastAsia="x-none"/>
              </w:rPr>
            </w:pPr>
            <w:r>
              <w:rPr>
                <w:sz w:val="18"/>
                <w:szCs w:val="18"/>
                <w:lang w:eastAsia="x-none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eastAsia="x-none" w:bidi="ar-SA"/>
              </w:rPr>
              <w:t>Исполнитель по заявке Заказчика оформляет отчетную и исполнительную документацию в соответствии с требованиями ГОСТ Р 57368-2016 "Сохранение произведений ландшафтной архитектуры и садово-паркового искусства. Общие требования" (утв. приказом Федерального агентства по техническому регулированию и метрологии от 23 декабря 2016 г. N 2069-ст).</w:t>
              <w:tab/>
              <w:t>Согласие с требованием</w:t>
            </w:r>
          </w:p>
        </w:tc>
        <w:tc>
          <w:tcPr>
            <w:tcW w:w="2692" w:type="dxa"/>
            <w:tcBorders/>
          </w:tcPr>
          <w:p>
            <w:pPr>
              <w:pStyle w:val="Style16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center"/>
              <w:outlineLvl w:val="2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 w:val="false"/>
                <w:kern w:val="0"/>
                <w:sz w:val="18"/>
                <w:szCs w:val="18"/>
                <w:lang w:val="ru-RU" w:eastAsia="ru-RU" w:bidi="ar-SA"/>
              </w:rPr>
              <w:t>Согласие с требованиями</w:t>
            </w:r>
          </w:p>
        </w:tc>
        <w:tc>
          <w:tcPr>
            <w:tcW w:w="2927" w:type="dxa"/>
            <w:tcBorders/>
          </w:tcPr>
          <w:p>
            <w:pPr>
              <w:pStyle w:val="Style16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center"/>
              <w:outlineLvl w:val="2"/>
              <w:rPr>
                <w:rFonts w:ascii="Times New Roman" w:hAnsi="Times New Roman" w:eastAsia="Calibri" w:cs="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ru-RU" w:eastAsia="ru-RU" w:bidi="ar-SA"/>
              </w:rPr>
            </w:r>
          </w:p>
        </w:tc>
        <w:tc>
          <w:tcPr>
            <w:tcW w:w="2744" w:type="dxa"/>
            <w:tcBorders/>
          </w:tcPr>
          <w:p>
            <w:pPr>
              <w:pStyle w:val="Style16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center"/>
              <w:outlineLvl w:val="2"/>
              <w:rPr>
                <w:rFonts w:ascii="Times New Roman" w:hAnsi="Times New Roman" w:eastAsia="Calibri" w:cs="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25" w:hanging="0"/>
              <w:contextualSpacing/>
              <w:jc w:val="left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bidi="ar-SA"/>
              </w:rPr>
              <w:t>6</w:t>
            </w:r>
          </w:p>
        </w:tc>
        <w:tc>
          <w:tcPr>
            <w:tcW w:w="567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b/>
                <w:bCs/>
                <w:kern w:val="0"/>
                <w:sz w:val="18"/>
                <w:szCs w:val="18"/>
                <w:lang w:val="ru-RU" w:eastAsia="x-none" w:bidi="ar-SA"/>
              </w:rPr>
              <w:t>Требования к документации, описывающей результат оказания услуг</w:t>
            </w:r>
          </w:p>
        </w:tc>
        <w:tc>
          <w:tcPr>
            <w:tcW w:w="2692" w:type="dxa"/>
            <w:tcBorders/>
          </w:tcPr>
          <w:p>
            <w:pPr>
              <w:pStyle w:val="Style16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center"/>
              <w:outlineLvl w:val="2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 w:val="false"/>
                <w:kern w:val="0"/>
                <w:sz w:val="18"/>
                <w:szCs w:val="18"/>
                <w:lang w:val="ru-RU" w:eastAsia="ru-RU" w:bidi="ar-SA"/>
              </w:rPr>
              <w:t>-//-</w:t>
            </w:r>
          </w:p>
        </w:tc>
        <w:tc>
          <w:tcPr>
            <w:tcW w:w="2927" w:type="dxa"/>
            <w:tcBorders/>
          </w:tcPr>
          <w:p>
            <w:pPr>
              <w:pStyle w:val="Style16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center"/>
              <w:outlineLvl w:val="2"/>
              <w:rPr>
                <w:rFonts w:ascii="Times New Roman" w:hAnsi="Times New Roman"/>
              </w:rPr>
            </w:pPr>
            <w:r>
              <w:rPr>
                <w:rFonts w:eastAsia="Times New Roman" w:cs="Times New Roman" w:ascii="Calibri" w:hAnsi="Calibri"/>
                <w:kern w:val="0"/>
                <w:sz w:val="18"/>
                <w:szCs w:val="18"/>
                <w:lang w:val="ru-RU" w:eastAsia="ru-RU" w:bidi="ar-SA"/>
              </w:rPr>
              <w:t>-//-</w:t>
            </w:r>
          </w:p>
        </w:tc>
        <w:tc>
          <w:tcPr>
            <w:tcW w:w="2744" w:type="dxa"/>
            <w:tcBorders/>
          </w:tcPr>
          <w:p>
            <w:pPr>
              <w:pStyle w:val="Style16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center"/>
              <w:outlineLvl w:val="2"/>
              <w:rPr>
                <w:rFonts w:ascii="Times New Roman" w:hAnsi="Times New Roman"/>
              </w:rPr>
            </w:pPr>
            <w:r>
              <w:rPr>
                <w:rFonts w:eastAsia="Times New Roman" w:cs="Times New Roman" w:ascii="Calibri" w:hAnsi="Calibri"/>
                <w:kern w:val="0"/>
                <w:sz w:val="18"/>
                <w:szCs w:val="18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25" w:hanging="0"/>
              <w:contextualSpacing/>
              <w:jc w:val="left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bidi="ar-SA"/>
              </w:rPr>
              <w:t>6.1.</w:t>
            </w:r>
          </w:p>
        </w:tc>
        <w:tc>
          <w:tcPr>
            <w:tcW w:w="567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eastAsia="x-none" w:bidi="ar-SA"/>
              </w:rPr>
              <w:t>Для приемки услуг Исполнитель оформляет после выполнения работ УПД в 2-ух экземплярах</w:t>
            </w:r>
          </w:p>
        </w:tc>
        <w:tc>
          <w:tcPr>
            <w:tcW w:w="2692" w:type="dxa"/>
            <w:tcBorders/>
          </w:tcPr>
          <w:p>
            <w:pPr>
              <w:pStyle w:val="Style16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center"/>
              <w:outlineLvl w:val="2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 w:val="false"/>
                <w:kern w:val="0"/>
                <w:sz w:val="18"/>
                <w:szCs w:val="18"/>
                <w:lang w:val="ru-RU" w:eastAsia="ru-RU" w:bidi="ar-SA"/>
              </w:rPr>
              <w:t>Согласие с требованиями</w:t>
            </w:r>
          </w:p>
        </w:tc>
        <w:tc>
          <w:tcPr>
            <w:tcW w:w="2927" w:type="dxa"/>
            <w:tcBorders/>
          </w:tcPr>
          <w:p>
            <w:pPr>
              <w:pStyle w:val="Style16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center"/>
              <w:outlineLvl w:val="2"/>
              <w:rPr>
                <w:rFonts w:ascii="Times New Roman" w:hAnsi="Times New Roman" w:eastAsia="Calibri" w:cs="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ru-RU" w:eastAsia="ru-RU" w:bidi="ar-SA"/>
              </w:rPr>
            </w:r>
          </w:p>
        </w:tc>
        <w:tc>
          <w:tcPr>
            <w:tcW w:w="2744" w:type="dxa"/>
            <w:tcBorders/>
          </w:tcPr>
          <w:p>
            <w:pPr>
              <w:pStyle w:val="Style16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center"/>
              <w:outlineLvl w:val="2"/>
              <w:rPr>
                <w:rFonts w:ascii="Times New Roman" w:hAnsi="Times New Roman" w:eastAsia="Calibri" w:cs="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25" w:hanging="0"/>
              <w:contextualSpacing/>
              <w:jc w:val="left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bidi="ar-SA"/>
              </w:rPr>
              <w:t>7</w:t>
            </w:r>
          </w:p>
        </w:tc>
        <w:tc>
          <w:tcPr>
            <w:tcW w:w="567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b/>
                <w:bCs/>
                <w:kern w:val="0"/>
                <w:sz w:val="18"/>
                <w:szCs w:val="18"/>
                <w:lang w:val="ru-RU" w:eastAsia="x-none" w:bidi="ar-SA"/>
              </w:rPr>
              <w:t>Требования к соблюдению положений нормативной и иной обязательной для исполнителя документации, определяемой видами услуг (помимо указанных в других разделах ТТ)</w:t>
            </w:r>
          </w:p>
        </w:tc>
        <w:tc>
          <w:tcPr>
            <w:tcW w:w="2692" w:type="dxa"/>
            <w:tcBorders/>
          </w:tcPr>
          <w:p>
            <w:pPr>
              <w:pStyle w:val="Style16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center"/>
              <w:outlineLvl w:val="2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 w:val="false"/>
                <w:kern w:val="0"/>
                <w:sz w:val="18"/>
                <w:szCs w:val="18"/>
                <w:lang w:val="ru-RU" w:eastAsia="ru-RU" w:bidi="ar-SA"/>
              </w:rPr>
              <w:t>-//-</w:t>
            </w:r>
          </w:p>
        </w:tc>
        <w:tc>
          <w:tcPr>
            <w:tcW w:w="2927" w:type="dxa"/>
            <w:tcBorders/>
          </w:tcPr>
          <w:p>
            <w:pPr>
              <w:pStyle w:val="Style16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center"/>
              <w:outlineLvl w:val="2"/>
              <w:rPr>
                <w:rFonts w:ascii="Times New Roman" w:hAnsi="Times New Roman"/>
              </w:rPr>
            </w:pPr>
            <w:r>
              <w:rPr>
                <w:rFonts w:eastAsia="Times New Roman" w:cs="Times New Roman" w:ascii="Calibri" w:hAnsi="Calibri"/>
                <w:kern w:val="0"/>
                <w:sz w:val="18"/>
                <w:szCs w:val="18"/>
                <w:lang w:val="ru-RU" w:eastAsia="ru-RU" w:bidi="ar-SA"/>
              </w:rPr>
              <w:t>-//-</w:t>
            </w:r>
          </w:p>
        </w:tc>
        <w:tc>
          <w:tcPr>
            <w:tcW w:w="2744" w:type="dxa"/>
            <w:tcBorders/>
          </w:tcPr>
          <w:p>
            <w:pPr>
              <w:pStyle w:val="Style16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center"/>
              <w:outlineLvl w:val="2"/>
              <w:rPr>
                <w:rFonts w:ascii="Times New Roman" w:hAnsi="Times New Roman"/>
              </w:rPr>
            </w:pPr>
            <w:r>
              <w:rPr>
                <w:rFonts w:eastAsia="Times New Roman" w:cs="Times New Roman" w:ascii="Calibri" w:hAnsi="Calibri"/>
                <w:kern w:val="0"/>
                <w:sz w:val="18"/>
                <w:szCs w:val="18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51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25" w:hanging="0"/>
              <w:contextualSpacing/>
              <w:jc w:val="left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bidi="ar-SA"/>
              </w:rPr>
              <w:t>7.1.</w:t>
            </w:r>
          </w:p>
        </w:tc>
        <w:tc>
          <w:tcPr>
            <w:tcW w:w="567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  <w:sz w:val="18"/>
                <w:szCs w:val="18"/>
                <w:lang w:eastAsia="x-none"/>
              </w:rPr>
            </w:pPr>
            <w:r>
              <w:rPr>
                <w:sz w:val="18"/>
                <w:szCs w:val="18"/>
                <w:lang w:eastAsia="x-none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eastAsia="x-none" w:bidi="ar-SA"/>
              </w:rPr>
              <w:t>- Указ Президента Российской Федерации от 07.05.2018 № 204 «О национальных целях и стратегических задачах развития Российской Федерации на период до 2024 года»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eastAsia="x-none" w:bidi="ar-SA"/>
              </w:rPr>
              <w:t>- Постановление Правительства РФ от 29.04.2013 N 380 «Об утверждении Положения о мерах по сохранению водных биологических ресурсов и среды их обитания»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eastAsia="x-none" w:bidi="ar-SA"/>
              </w:rPr>
              <w:t>- Паспорт национального проекта «Экология». Утвержден президиумом Совета при Президенте Российской Федерации по стратегическому развитию и национальным проектам (протокол от 24 декабря 2018 г. № 16)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eastAsia="x-none" w:bidi="ar-SA"/>
              </w:rPr>
              <w:t>- Паспорт федерального проекта "Сохранение уникальных водных объектов". Утвержден протоколом заседания проектного комитета по национальному проекту "Экология" от 21 декабря 2018 г. N 3.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eastAsia="x-none" w:bidi="ar-SA"/>
              </w:rPr>
              <w:t>- План деятельности Министерства природных ресурсов и экологии Российской Федерации на 2019 - 2024 годы" (утв. Минприроды России 28.06.2019 N 0010/12)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eastAsia="x-none" w:bidi="ar-SA"/>
              </w:rPr>
              <w:t>- «Правила по охране труда при работе с инструментом и приспособлениями» (утв. приказом Минтруда России от 27.11.2020 N 835н)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eastAsia="x-none" w:bidi="ar-SA"/>
              </w:rPr>
              <w:t>- «Правила противопожарного режима в Российской Федерации» (утверждены Постановлением Правительства РФ от 16.09.2020 N 1479)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eastAsia="x-none" w:bidi="ar-SA"/>
              </w:rPr>
              <w:t>-  "Правила безопасности опасных производственных объектов, на которых используются подъемные сооружения" (утверждены приказом Ростехнадзора от 26.11.2020 №461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eastAsia="x-none" w:bidi="ar-SA"/>
              </w:rPr>
              <w:t>- «Правила по охране труда при эксплуатации электроустановок» (утверждены приказом Минтруда РФ от 15.12.2020 №903н)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eastAsia="x-none" w:bidi="ar-SA"/>
              </w:rPr>
              <w:t>- Гражданский кодекс РФ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eastAsia="x-none" w:bidi="ar-SA"/>
              </w:rPr>
              <w:t>- Федеральный закон 89-ФЗ "Об отходах производства и потребления"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eastAsia="x-none" w:bidi="ar-SA"/>
              </w:rPr>
              <w:t>- Постановление Правительства РФ от 07.10.2020 N 1614 "Об утверждении Правил пожарной безопасности в лесах"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284"/>
              <w:jc w:val="both"/>
              <w:rPr>
                <w:rFonts w:ascii="Times New Roman" w:hAnsi="Times New Roman"/>
              </w:rPr>
            </w:pPr>
            <w:r>
              <w:rPr>
                <w:kern w:val="0"/>
                <w:sz w:val="18"/>
                <w:szCs w:val="18"/>
                <w:lang w:val="ru-RU" w:eastAsia="x-none" w:bidi="ar-SA"/>
              </w:rPr>
              <w:t>- Экологическая политика ПАО «РусГидро»</w:t>
            </w:r>
          </w:p>
        </w:tc>
        <w:tc>
          <w:tcPr>
            <w:tcW w:w="2692" w:type="dxa"/>
            <w:tcBorders/>
          </w:tcPr>
          <w:p>
            <w:pPr>
              <w:pStyle w:val="Style16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center"/>
              <w:outlineLvl w:val="2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 w:val="false"/>
                <w:kern w:val="0"/>
                <w:sz w:val="18"/>
                <w:szCs w:val="18"/>
                <w:lang w:val="ru-RU" w:eastAsia="ru-RU" w:bidi="ar-SA"/>
              </w:rPr>
              <w:t>Согласие с требованиями</w:t>
            </w:r>
          </w:p>
        </w:tc>
        <w:tc>
          <w:tcPr>
            <w:tcW w:w="2927" w:type="dxa"/>
            <w:tcBorders/>
          </w:tcPr>
          <w:p>
            <w:pPr>
              <w:pStyle w:val="Style16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center"/>
              <w:outlineLvl w:val="2"/>
              <w:rPr>
                <w:rFonts w:ascii="Times New Roman" w:hAnsi="Times New Roman" w:eastAsia="Calibri" w:cs="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ru-RU" w:eastAsia="ru-RU" w:bidi="ar-SA"/>
              </w:rPr>
            </w:r>
          </w:p>
        </w:tc>
        <w:tc>
          <w:tcPr>
            <w:tcW w:w="2744" w:type="dxa"/>
            <w:tcBorders/>
          </w:tcPr>
          <w:p>
            <w:pPr>
              <w:pStyle w:val="Style16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left="0" w:hanging="0"/>
              <w:jc w:val="center"/>
              <w:outlineLvl w:val="2"/>
              <w:rPr>
                <w:rFonts w:ascii="Times New Roman" w:hAnsi="Times New Roman" w:eastAsia="Calibri" w:cs=""/>
                <w:kern w:val="0"/>
                <w:sz w:val="18"/>
                <w:szCs w:val="18"/>
                <w:lang w:val="ru-RU" w:eastAsia="ru-RU" w:bidi="ar-SA"/>
              </w:rPr>
            </w:pPr>
            <w:r>
              <w:rPr>
                <w:rFonts w:eastAsia="Calibri" w:cs=""/>
                <w:kern w:val="0"/>
                <w:sz w:val="18"/>
                <w:szCs w:val="18"/>
                <w:lang w:val="ru-RU" w:eastAsia="ru-RU" w:bidi="ar-SA"/>
              </w:rPr>
            </w:r>
          </w:p>
        </w:tc>
      </w:tr>
    </w:tbl>
    <w:p>
      <w:pPr>
        <w:sectPr>
          <w:headerReference w:type="default" r:id="rId5"/>
          <w:headerReference w:type="first" r:id="rId6"/>
          <w:footerReference w:type="default" r:id="rId7"/>
          <w:footerReference w:type="first" r:id="rId8"/>
          <w:type w:val="nextPage"/>
          <w:pgSz w:orient="landscape" w:w="16838" w:h="11906"/>
          <w:pgMar w:left="992" w:right="567" w:gutter="0" w:header="680" w:top="851" w:footer="737" w:bottom="851"/>
          <w:pgNumType w:fmt="decimal"/>
          <w:formProt w:val="false"/>
          <w:titlePg/>
          <w:textDirection w:val="lrTb"/>
          <w:docGrid w:type="default" w:linePitch="381" w:charSpace="0"/>
        </w:sectPr>
      </w:pPr>
    </w:p>
    <w:p>
      <w:pPr>
        <w:pStyle w:val="Normal"/>
        <w:numPr>
          <w:ilvl w:val="0"/>
          <w:numId w:val="4"/>
        </w:numPr>
        <w:spacing w:before="0" w:after="0"/>
        <w:ind w:left="0" w:firstLine="709"/>
        <w:rPr>
          <w:rFonts w:eastAsia="Calibri"/>
          <w:b/>
          <w:bCs/>
        </w:rPr>
      </w:pPr>
      <w:r>
        <w:rPr>
          <w:rFonts w:eastAsia="Calibri"/>
          <w:b/>
          <w:bCs/>
        </w:rPr>
        <w:t>Требования к документации по ценообразованию на этапе закупки</w:t>
      </w:r>
    </w:p>
    <w:p>
      <w:pPr>
        <w:pStyle w:val="Normal"/>
        <w:numPr>
          <w:ilvl w:val="0"/>
          <w:numId w:val="0"/>
        </w:numPr>
        <w:spacing w:before="0" w:after="0"/>
        <w:ind w:left="567" w:hanging="0"/>
        <w:contextualSpacing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</w:r>
    </w:p>
    <w:p>
      <w:pPr>
        <w:pStyle w:val="Normal"/>
        <w:numPr>
          <w:ilvl w:val="1"/>
          <w:numId w:val="4"/>
        </w:numPr>
        <w:spacing w:before="0" w:after="0"/>
        <w:ind w:left="0" w:firstLine="709"/>
        <w:jc w:val="both"/>
        <w:rPr>
          <w:iCs/>
        </w:rPr>
      </w:pPr>
      <w:r>
        <w:rPr>
          <w:rFonts w:eastAsia="Calibri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>В обоснование стоимости своей заявки Участник предоставляет Коммерческое предложение (Приложение №3, с учетом прилагаемой к ней инструкции по заполнению)</w:t>
      </w:r>
      <w:r>
        <w:rPr>
          <w:rFonts w:eastAsia="Calibri" w:cs="Times New Roman"/>
          <w:b w:val="false"/>
          <w:bCs/>
          <w:iCs/>
          <w:color w:val="000000"/>
          <w:kern w:val="0"/>
          <w:sz w:val="24"/>
          <w:szCs w:val="24"/>
          <w:shd w:fill="auto" w:val="clear"/>
          <w:lang w:val="ru-RU" w:eastAsia="x-none" w:bidi="ar-SA"/>
        </w:rPr>
        <w:t xml:space="preserve"> (с указанием понижающего коэффициента).</w:t>
      </w:r>
    </w:p>
    <w:p>
      <w:pPr>
        <w:pStyle w:val="Normal"/>
        <w:numPr>
          <w:ilvl w:val="1"/>
          <w:numId w:val="4"/>
        </w:numPr>
        <w:spacing w:before="0" w:after="0"/>
        <w:ind w:left="0" w:firstLine="709"/>
        <w:jc w:val="both"/>
        <w:rPr>
          <w:iCs/>
        </w:rPr>
      </w:pPr>
      <w:r>
        <w:rPr>
          <w:rFonts w:eastAsia="Calibri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>Понижающий коэффициент, указанный в заявке Участника, с которым принято решение заключить договор, применяется к сметной стоимости по каждой Заявке при формировании сметных расчетов по Заявкам.</w:t>
      </w:r>
    </w:p>
    <w:p>
      <w:pPr>
        <w:pStyle w:val="Normal"/>
        <w:numPr>
          <w:ilvl w:val="0"/>
          <w:numId w:val="0"/>
        </w:numPr>
        <w:spacing w:before="0" w:after="0"/>
        <w:ind w:left="0" w:hanging="0"/>
        <w:jc w:val="both"/>
        <w:rPr>
          <w:iCs/>
        </w:rPr>
      </w:pPr>
      <w:r>
        <w:rPr>
          <w:iCs/>
        </w:rPr>
      </w:r>
    </w:p>
    <w:p>
      <w:pPr>
        <w:pStyle w:val="Normal"/>
        <w:numPr>
          <w:ilvl w:val="0"/>
          <w:numId w:val="4"/>
        </w:numPr>
        <w:spacing w:before="0" w:after="0"/>
        <w:ind w:left="0" w:firstLine="709"/>
        <w:jc w:val="center"/>
        <w:rPr>
          <w:b/>
          <w:bCs/>
        </w:rPr>
      </w:pPr>
      <w:r>
        <w:rPr>
          <w:b/>
          <w:bCs/>
        </w:rPr>
        <w:t>Требования к документации по ценообразованию на этапе заключения (исполнения) договора</w:t>
      </w:r>
    </w:p>
    <w:p>
      <w:pPr>
        <w:pStyle w:val="Normal"/>
        <w:widowControl w:val="false"/>
        <w:numPr>
          <w:ilvl w:val="0"/>
          <w:numId w:val="0"/>
        </w:numPr>
        <w:snapToGrid w:val="false"/>
        <w:spacing w:before="0" w:after="60"/>
        <w:ind w:left="0" w:hanging="0"/>
        <w:contextualSpacing/>
        <w:rPr>
          <w:rFonts w:cs="Calibri"/>
          <w:b/>
          <w:bCs/>
          <w:color w:val="000000"/>
          <w:lang w:eastAsia="en-US" w:bidi="en-US"/>
        </w:rPr>
      </w:pPr>
      <w:r>
        <w:rPr>
          <w:rFonts w:cs="Calibri"/>
          <w:b/>
          <w:bCs/>
          <w:color w:val="000000"/>
          <w:lang w:eastAsia="en-US" w:bidi="en-US"/>
        </w:rPr>
      </w:r>
    </w:p>
    <w:p>
      <w:pPr>
        <w:pStyle w:val="Normal"/>
        <w:numPr>
          <w:ilvl w:val="1"/>
          <w:numId w:val="4"/>
        </w:numPr>
        <w:spacing w:before="0" w:after="0"/>
        <w:ind w:left="0" w:firstLine="709"/>
        <w:jc w:val="both"/>
        <w:rPr>
          <w:rFonts w:ascii="Times New Roman" w:hAnsi="Times New Roman" w:eastAsia="Calibri" w:cs="Times New Roman"/>
          <w:b w:val="false"/>
          <w:bCs w:val="false"/>
          <w:color w:val="auto"/>
          <w:kern w:val="0"/>
          <w:sz w:val="24"/>
          <w:szCs w:val="24"/>
          <w:shd w:fill="auto" w:val="clear"/>
          <w:lang w:val="ru-RU" w:eastAsia="ru-RU" w:bidi="ar-SA"/>
        </w:rPr>
      </w:pPr>
      <w:r>
        <w:rPr>
          <w:rFonts w:eastAsia="Calibri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 xml:space="preserve">Понижающий коэффициент, по итогам проведения процедуры закупки, применяемый к сметной стоимости, будет зафиксирован в Договоре. </w:t>
      </w:r>
    </w:p>
    <w:p>
      <w:pPr>
        <w:pStyle w:val="Normal"/>
        <w:numPr>
          <w:ilvl w:val="1"/>
          <w:numId w:val="4"/>
        </w:numPr>
        <w:spacing w:before="0" w:after="0"/>
        <w:ind w:left="0" w:firstLine="709"/>
        <w:jc w:val="both"/>
        <w:rPr>
          <w:rFonts w:ascii="Times New Roman" w:hAnsi="Times New Roman" w:eastAsia="Calibri" w:cs="Times New Roman"/>
          <w:b w:val="false"/>
          <w:bCs w:val="false"/>
          <w:color w:val="auto"/>
          <w:kern w:val="0"/>
          <w:sz w:val="24"/>
          <w:szCs w:val="24"/>
          <w:shd w:fill="auto" w:val="clear"/>
          <w:lang w:val="ru-RU" w:eastAsia="ru-RU" w:bidi="ar-SA"/>
        </w:rPr>
      </w:pPr>
      <w:r>
        <w:rPr>
          <w:rFonts w:eastAsia="Calibri" w:cs="Times New Roman"/>
          <w:b w:val="false"/>
          <w:bCs w:val="false"/>
          <w:color w:val="000000"/>
          <w:kern w:val="0"/>
          <w:sz w:val="24"/>
          <w:szCs w:val="24"/>
          <w:shd w:fill="auto" w:val="clear"/>
          <w:lang w:val="ru-RU" w:eastAsia="ru-RU" w:bidi="ar-SA"/>
        </w:rPr>
        <w:t>Сметная документация в состав заявки Участника не включается. Сметная документация составляется в обязательном порядке в соответствии с Требованиями к оформлению и составлению документации по ценообразованию (Приложение №4 к Техническим требованиям) с учетом понижающего коэффициента, определенного по итогам проведения упрощенной процедуры закупки, применяемого в обязательном порядке к сметной стоимости по каждой Заявке.</w:t>
      </w:r>
    </w:p>
    <w:p>
      <w:pPr>
        <w:pStyle w:val="Normal"/>
        <w:numPr>
          <w:ilvl w:val="0"/>
          <w:numId w:val="0"/>
        </w:numPr>
        <w:spacing w:before="0" w:after="0"/>
        <w:ind w:left="709" w:hanging="0"/>
        <w:contextualSpacing/>
        <w:jc w:val="left"/>
        <w:rPr>
          <w:lang w:val="ru-RU"/>
        </w:rPr>
      </w:pPr>
      <w:r>
        <w:rPr>
          <w:lang w:val="ru-RU"/>
        </w:rPr>
      </w:r>
    </w:p>
    <w:p>
      <w:pPr>
        <w:pStyle w:val="Normal"/>
        <w:numPr>
          <w:ilvl w:val="0"/>
          <w:numId w:val="4"/>
        </w:numPr>
        <w:spacing w:before="0" w:after="0"/>
        <w:ind w:left="0" w:firstLine="709"/>
        <w:rPr>
          <w:b/>
          <w:bCs/>
        </w:rPr>
      </w:pPr>
      <w:r>
        <w:rPr>
          <w:b/>
          <w:bCs/>
        </w:rPr>
        <w:t>Приложения</w:t>
      </w:r>
    </w:p>
    <w:p>
      <w:pPr>
        <w:pStyle w:val="Normal"/>
        <w:numPr>
          <w:ilvl w:val="0"/>
          <w:numId w:val="0"/>
        </w:numPr>
        <w:spacing w:before="0" w:after="0"/>
        <w:ind w:left="360" w:right="27" w:hanging="0"/>
        <w:contextualSpacing/>
        <w:jc w:val="both"/>
        <w:rPr>
          <w:iCs/>
        </w:rPr>
      </w:pPr>
      <w:r>
        <w:rPr>
          <w:rFonts w:eastAsia="Calibri"/>
          <w:sz w:val="24"/>
          <w:szCs w:val="24"/>
        </w:rPr>
        <w:t>Приложение № 1 –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Ведомость объемов работ</w:t>
      </w:r>
    </w:p>
    <w:p>
      <w:pPr>
        <w:pStyle w:val="Normal"/>
        <w:numPr>
          <w:ilvl w:val="0"/>
          <w:numId w:val="0"/>
        </w:numPr>
        <w:spacing w:before="0" w:after="0"/>
        <w:ind w:left="360" w:right="27" w:hanging="0"/>
        <w:contextualSpacing/>
        <w:jc w:val="both"/>
        <w:rPr>
          <w:iCs/>
        </w:rPr>
      </w:pPr>
      <w:r>
        <w:rPr>
          <w:rFonts w:eastAsia="Calibri"/>
          <w:sz w:val="24"/>
          <w:szCs w:val="24"/>
        </w:rPr>
        <w:t>Приложение №2 - Правила организации безопасного обслуживания ГТС гидросилового и гидромеханического оборудования.</w:t>
      </w:r>
    </w:p>
    <w:p>
      <w:pPr>
        <w:pStyle w:val="Normal"/>
        <w:numPr>
          <w:ilvl w:val="0"/>
          <w:numId w:val="0"/>
        </w:numPr>
        <w:spacing w:before="0" w:after="0"/>
        <w:ind w:left="360" w:right="27" w:hanging="0"/>
        <w:contextualSpacing/>
        <w:jc w:val="both"/>
        <w:rPr>
          <w:iCs/>
        </w:rPr>
      </w:pPr>
      <w:r>
        <w:rPr>
          <w:rFonts w:eastAsia="Calibri"/>
          <w:sz w:val="24"/>
          <w:szCs w:val="24"/>
        </w:rPr>
        <w:t>Приложение №3 - Методика допуска персонала подрядных организаций к выполнению работ на объектах Общества</w:t>
      </w:r>
    </w:p>
    <w:p>
      <w:pPr>
        <w:pStyle w:val="Normal"/>
        <w:numPr>
          <w:ilvl w:val="0"/>
          <w:numId w:val="0"/>
        </w:numPr>
        <w:spacing w:before="0" w:after="0"/>
        <w:ind w:left="360" w:right="27" w:hanging="0"/>
        <w:contextualSpacing/>
        <w:jc w:val="both"/>
        <w:rPr>
          <w:iCs/>
        </w:rPr>
      </w:pPr>
      <w:r>
        <w:rPr>
          <w:rFonts w:eastAsia="Calibri"/>
          <w:sz w:val="24"/>
          <w:szCs w:val="24"/>
        </w:rPr>
        <w:t>Приложение №</w:t>
      </w:r>
      <w:r>
        <w:rPr>
          <w:rFonts w:eastAsia="Calibri"/>
          <w:sz w:val="24"/>
          <w:szCs w:val="24"/>
          <w:lang w:val="ru-RU"/>
        </w:rPr>
        <w:t xml:space="preserve"> 4 </w:t>
      </w:r>
      <w:r>
        <w:rPr>
          <w:rFonts w:eastAsia="Calibri"/>
          <w:sz w:val="24"/>
          <w:szCs w:val="24"/>
        </w:rPr>
        <w:t>- Требования к оформлению и составлению документации по ценообразованию</w:t>
      </w:r>
    </w:p>
    <w:p>
      <w:pPr>
        <w:pStyle w:val="Normal"/>
        <w:numPr>
          <w:ilvl w:val="0"/>
          <w:numId w:val="0"/>
        </w:numPr>
        <w:spacing w:before="0" w:after="0"/>
        <w:ind w:left="0" w:right="27" w:hanging="0"/>
        <w:contextualSpacing/>
        <w:rPr>
          <w:rFonts w:eastAsia="Calibri"/>
        </w:rPr>
      </w:pPr>
      <w:r>
        <w:rPr>
          <w:rFonts w:eastAsia="Calibri"/>
        </w:rPr>
      </w:r>
    </w:p>
    <w:p>
      <w:pPr>
        <w:pStyle w:val="Normal"/>
        <w:numPr>
          <w:ilvl w:val="0"/>
          <w:numId w:val="0"/>
        </w:numPr>
        <w:spacing w:before="0" w:after="0"/>
        <w:ind w:left="0" w:right="27" w:hanging="0"/>
        <w:contextualSpacing/>
        <w:jc w:val="left"/>
        <w:rPr>
          <w:lang w:val="ru-RU"/>
        </w:rPr>
      </w:pPr>
      <w:r>
        <w:rPr>
          <w:lang w:val="ru-RU"/>
        </w:rPr>
      </w:r>
      <w:r>
        <w:br w:type="page"/>
      </w:r>
    </w:p>
    <w:p>
      <w:pPr>
        <w:pStyle w:val="Normal"/>
        <w:spacing w:before="0" w:after="0"/>
        <w:ind w:right="27" w:firstLine="709"/>
        <w:contextualSpacing/>
        <w:jc w:val="right"/>
        <w:rPr>
          <w:highlight w:val="none"/>
          <w:shd w:fill="auto" w:val="clear"/>
        </w:rPr>
      </w:pPr>
      <w:r>
        <w:rPr>
          <w:rFonts w:eastAsia="Calibri"/>
          <w:bCs/>
          <w:iCs/>
          <w:sz w:val="24"/>
          <w:szCs w:val="24"/>
          <w:shd w:fill="auto" w:val="clear"/>
        </w:rPr>
        <w:t>Приложение №</w:t>
      </w:r>
      <w:r>
        <w:rPr>
          <w:rFonts w:eastAsia="Calibri"/>
          <w:bCs/>
          <w:iCs/>
          <w:sz w:val="24"/>
          <w:szCs w:val="24"/>
          <w:shd w:fill="auto" w:val="clear"/>
          <w:lang w:val="ru-RU"/>
        </w:rPr>
        <w:t xml:space="preserve"> 4 </w:t>
      </w:r>
      <w:r>
        <w:rPr>
          <w:rFonts w:eastAsia="Calibri"/>
          <w:bCs/>
          <w:iCs/>
          <w:sz w:val="24"/>
          <w:szCs w:val="24"/>
          <w:shd w:fill="auto" w:val="clear"/>
        </w:rPr>
        <w:t>к Техническим требованиям</w:t>
      </w:r>
    </w:p>
    <w:p>
      <w:pPr>
        <w:pStyle w:val="Normal"/>
        <w:spacing w:before="0" w:after="0"/>
        <w:ind w:firstLine="709"/>
        <w:rPr>
          <w:rFonts w:eastAsia="Calibri"/>
          <w:b/>
          <w:bCs/>
          <w:iCs/>
          <w:sz w:val="24"/>
          <w:szCs w:val="24"/>
          <w:highlight w:val="none"/>
          <w:shd w:fill="auto" w:val="clear"/>
        </w:rPr>
      </w:pPr>
      <w:r>
        <w:rPr>
          <w:rFonts w:eastAsia="Calibri"/>
          <w:b/>
          <w:bCs/>
          <w:iCs/>
          <w:sz w:val="24"/>
          <w:szCs w:val="24"/>
          <w:shd w:fill="auto" w:val="clear"/>
        </w:rPr>
      </w:r>
    </w:p>
    <w:p>
      <w:pPr>
        <w:pStyle w:val="Normal"/>
        <w:spacing w:before="0" w:after="0"/>
        <w:ind w:firstLine="709"/>
        <w:jc w:val="center"/>
        <w:rPr>
          <w:rFonts w:eastAsia="Calibri"/>
          <w:b/>
          <w:bCs/>
          <w:iCs/>
          <w:sz w:val="24"/>
          <w:szCs w:val="24"/>
          <w:highlight w:val="none"/>
          <w:shd w:fill="auto" w:val="clear"/>
        </w:rPr>
      </w:pPr>
      <w:r>
        <w:rPr>
          <w:rFonts w:eastAsia="Calibri"/>
          <w:b/>
          <w:bCs/>
          <w:iCs/>
          <w:sz w:val="24"/>
          <w:szCs w:val="24"/>
          <w:shd w:fill="auto" w:val="clear"/>
        </w:rPr>
      </w:r>
    </w:p>
    <w:p>
      <w:pPr>
        <w:pStyle w:val="Normal"/>
        <w:spacing w:before="0" w:after="60"/>
        <w:ind w:firstLine="709"/>
        <w:contextualSpacing/>
        <w:jc w:val="center"/>
        <w:rPr>
          <w:highlight w:val="none"/>
          <w:shd w:fill="auto" w:val="clear"/>
        </w:rPr>
      </w:pPr>
      <w:r>
        <w:rPr>
          <w:rFonts w:eastAsia="Calibri" w:cs="Times New Roman"/>
          <w:b/>
          <w:bCs/>
          <w:color w:val="000000"/>
          <w:kern w:val="0"/>
          <w:sz w:val="24"/>
          <w:szCs w:val="24"/>
          <w:shd w:fill="auto" w:val="clear"/>
          <w:lang w:val="ru-RU" w:eastAsia="ru-RU" w:bidi="ar-SA"/>
        </w:rPr>
        <w:t xml:space="preserve">Требования к оформлению и составлению документации по ценообразованию 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left="170" w:right="0" w:hanging="0"/>
        <w:jc w:val="center"/>
        <w:rPr>
          <w:highlight w:val="none"/>
          <w:shd w:fill="auto" w:val="clear"/>
        </w:rPr>
      </w:pPr>
      <w:r>
        <w:rPr>
          <w:rFonts w:eastAsia="Calibri" w:cs="Times New Roman"/>
          <w:b/>
          <w:bCs/>
          <w:color w:val="000000"/>
          <w:kern w:val="0"/>
          <w:sz w:val="24"/>
          <w:szCs w:val="24"/>
          <w:shd w:fill="auto" w:val="clear"/>
          <w:lang w:val="ru-RU" w:eastAsia="ru-RU" w:bidi="ar-SA"/>
        </w:rPr>
        <w:t>ОКПД2 81.30.10.000 Оказание услуг по покосу травы и сорной растительности на объектах филиала ПАО «РусГидро» - «Дагестанский филиал»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bidi w:val="0"/>
        <w:spacing w:lineRule="auto" w:line="240" w:before="0" w:after="0"/>
        <w:ind w:left="170" w:right="0" w:hanging="0"/>
        <w:jc w:val="center"/>
        <w:rPr>
          <w:rFonts w:eastAsia="Calibri"/>
          <w:b w:val="false"/>
          <w:bCs/>
          <w:i w:val="false"/>
          <w:i w:val="false"/>
          <w:iCs/>
          <w:strike w:val="false"/>
          <w:dstrike w:val="false"/>
          <w:outline w:val="false"/>
          <w:shadow w:val="false"/>
          <w:color w:val="000000"/>
          <w:highlight w:val="none"/>
          <w:u w:val="none"/>
          <w:shd w:fill="auto" w:val="clear"/>
          <w:em w:val="none"/>
          <w:lang w:val="ru-RU"/>
        </w:rPr>
      </w:pPr>
      <w:r>
        <w:rPr>
          <w:rFonts w:eastAsia="Calibri"/>
          <w:b w:val="false"/>
          <w:bCs/>
          <w:i w:val="false"/>
          <w:iCs/>
          <w:strike w:val="false"/>
          <w:dstrike w:val="false"/>
          <w:outline w:val="false"/>
          <w:shadow w:val="false"/>
          <w:color w:val="000000"/>
          <w:u w:val="none"/>
          <w:shd w:fill="auto" w:val="clear"/>
          <w:em w:val="none"/>
          <w:lang w:val="ru-RU"/>
        </w:rPr>
      </w:r>
    </w:p>
    <w:p>
      <w:pPr>
        <w:pStyle w:val="Normal"/>
        <w:bidi w:val="0"/>
        <w:spacing w:before="0" w:after="0"/>
        <w:jc w:val="center"/>
        <w:rPr>
          <w:highlight w:val="none"/>
          <w:shd w:fill="auto" w:val="clear"/>
        </w:rPr>
      </w:pP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shd w:fill="auto" w:val="clear"/>
          <w:em w:val="none"/>
          <w:lang w:val="ru-RU"/>
        </w:rPr>
        <w:t>ЛОТ № 0022-ТО ДУД-2026-СК РусГидро</w:t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highlight w:val="none"/>
          <w:shd w:fill="auto" w:val="clear"/>
        </w:rPr>
      </w:pPr>
      <w:r>
        <w:rPr>
          <w:b/>
          <w:bCs/>
          <w:color w:val="000000"/>
          <w:sz w:val="24"/>
          <w:szCs w:val="24"/>
          <w:shd w:fill="auto" w:val="clear"/>
        </w:rPr>
      </w:r>
    </w:p>
    <w:p>
      <w:pPr>
        <w:pStyle w:val="Normal"/>
        <w:spacing w:before="0" w:after="60"/>
        <w:ind w:firstLine="709"/>
        <w:contextualSpacing/>
        <w:jc w:val="center"/>
        <w:rPr>
          <w:rFonts w:eastAsia="Calibri"/>
          <w:b/>
          <w:bCs/>
          <w:color w:val="000000"/>
          <w:sz w:val="24"/>
          <w:szCs w:val="24"/>
          <w:highlight w:val="none"/>
          <w:shd w:fill="auto" w:val="clear"/>
        </w:rPr>
      </w:pPr>
      <w:r>
        <w:rPr>
          <w:rFonts w:eastAsia="Calibri"/>
          <w:b/>
          <w:bCs/>
          <w:color w:val="000000"/>
          <w:sz w:val="24"/>
          <w:szCs w:val="24"/>
          <w:shd w:fill="auto" w:val="clear"/>
        </w:rPr>
      </w:r>
    </w:p>
    <w:p>
      <w:pPr>
        <w:pStyle w:val="Style22"/>
        <w:numPr>
          <w:ilvl w:val="0"/>
          <w:numId w:val="9"/>
        </w:numPr>
        <w:ind w:left="0" w:firstLine="709"/>
        <w:jc w:val="both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 xml:space="preserve">В ходе исполнения договора разработка сметной документации по каждой отдельной Заявке Заказчика осуществляется Победителем с обязательным применением </w:t>
      </w:r>
      <w:r>
        <w:rPr>
          <w:bCs/>
          <w:sz w:val="24"/>
          <w:szCs w:val="24"/>
          <w:shd w:fill="auto" w:val="clear"/>
        </w:rPr>
        <w:t>единым индексом в итогах понижающего коэффициента</w:t>
      </w:r>
      <w:r>
        <w:rPr>
          <w:sz w:val="24"/>
          <w:szCs w:val="24"/>
          <w:shd w:fill="auto" w:val="clear"/>
        </w:rPr>
        <w:t xml:space="preserve">, определённого по результатам процедуры упрощенной закупки и передается Заказчику на согласование. </w:t>
      </w:r>
    </w:p>
    <w:p>
      <w:pPr>
        <w:pStyle w:val="Style22"/>
        <w:numPr>
          <w:ilvl w:val="0"/>
          <w:numId w:val="10"/>
        </w:numPr>
        <w:ind w:left="0" w:firstLine="709"/>
        <w:jc w:val="both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 xml:space="preserve">Стоимость услуг определяется базисно-индексным методом с применением сметно-нормативной базы ФЕР- 2020 (с Изм. 1-9) с КСР, в программном комплексе «Гранд-СМЕТА» с переводом в текущие цены. При этом норму накладных расходов необходимо принимать по индивидуальным нормам в размере, не превышающем норму «Прочие ремонтно-строительные работы»:  </w:t>
      </w:r>
    </w:p>
    <w:p>
      <w:pPr>
        <w:pStyle w:val="Normal"/>
        <w:ind w:firstLine="709"/>
        <w:jc w:val="both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-</w:t>
        <w:tab/>
        <w:t xml:space="preserve">не более 92% от ФОТ, для местностей, не относящихся к районам Крайнего Севера и приравненных к ним территориям; </w:t>
      </w:r>
    </w:p>
    <w:p>
      <w:pPr>
        <w:pStyle w:val="Normal"/>
        <w:ind w:firstLine="709"/>
        <w:jc w:val="both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-</w:t>
        <w:tab/>
        <w:t xml:space="preserve">не более 93% от ФОТ - для местностей, приравненных к районам Крайнего Севера; </w:t>
      </w:r>
    </w:p>
    <w:p>
      <w:pPr>
        <w:pStyle w:val="Normal"/>
        <w:ind w:firstLine="709"/>
        <w:jc w:val="both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-</w:t>
        <w:tab/>
        <w:t>97% от ФОТ - для местностей, относящихся к районам Крайнего Севера;</w:t>
      </w:r>
    </w:p>
    <w:p>
      <w:pPr>
        <w:pStyle w:val="Normal"/>
        <w:ind w:firstLine="709"/>
        <w:jc w:val="both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Норму сметной прибыли принимать по индивидуальной норме в размере, не превышающем норму «Прочие ремонтно-строительные работы» (44% от ФОТ).</w:t>
      </w:r>
    </w:p>
    <w:p>
      <w:pPr>
        <w:pStyle w:val="Normal"/>
        <w:ind w:firstLine="709"/>
        <w:jc w:val="both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Normal"/>
        <w:ind w:firstLine="709"/>
        <w:jc w:val="both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Сметная документация должна быть представлена в двух вариантах:</w:t>
      </w:r>
    </w:p>
    <w:p>
      <w:pPr>
        <w:pStyle w:val="Normal"/>
        <w:ind w:firstLine="709"/>
        <w:jc w:val="both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- на бумажном носителе по форме;</w:t>
      </w:r>
    </w:p>
    <w:p>
      <w:pPr>
        <w:pStyle w:val="Normal"/>
        <w:ind w:firstLine="709"/>
        <w:jc w:val="both"/>
        <w:rPr>
          <w:highlight w:val="none"/>
          <w:shd w:fill="auto" w:val="clear"/>
        </w:rPr>
      </w:pPr>
      <w:r>
        <w:rPr>
          <w:sz w:val="24"/>
          <w:szCs w:val="24"/>
          <w:shd w:fill="auto" w:val="clear"/>
        </w:rPr>
        <w:t>- на электронном носителе (в формате «xml» ПК «Гранд-Смета», «Excel», «pdf»),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</w:p>
    <w:p>
      <w:pPr>
        <w:pStyle w:val="Normal"/>
        <w:spacing w:before="0" w:after="0"/>
        <w:ind w:left="426" w:firstLine="283"/>
        <w:contextualSpacing/>
        <w:jc w:val="both"/>
        <w:rPr>
          <w:rFonts w:eastAsia="Calibri"/>
          <w:bCs/>
          <w:iCs/>
          <w:sz w:val="24"/>
          <w:szCs w:val="24"/>
          <w:highlight w:val="none"/>
          <w:shd w:fill="FFFF00" w:val="clear"/>
        </w:rPr>
      </w:pPr>
      <w:r>
        <w:rPr>
          <w:rFonts w:eastAsia="Calibri"/>
          <w:bCs/>
          <w:iCs/>
          <w:sz w:val="24"/>
          <w:szCs w:val="24"/>
          <w:shd w:fill="FFFF00" w:val="clear"/>
        </w:rPr>
      </w:r>
    </w:p>
    <w:p>
      <w:pPr>
        <w:pStyle w:val="Normal"/>
        <w:jc w:val="both"/>
        <w:rPr>
          <w:highlight w:val="none"/>
          <w:shd w:fill="FFFF00" w:val="clear"/>
        </w:rPr>
      </w:pPr>
      <w:r>
        <w:rPr>
          <w:shd w:fill="FFFF00" w:val="clear"/>
        </w:rPr>
      </w:r>
      <w:bookmarkStart w:id="30" w:name="_Ref40301253"/>
      <w:bookmarkStart w:id="31" w:name="_Ref40301253"/>
      <w:bookmarkEnd w:id="31"/>
    </w:p>
    <w:p>
      <w:pPr>
        <w:pStyle w:val="Normal"/>
        <w:rPr>
          <w:highlight w:val="none"/>
          <w:shd w:fill="FFFF00" w:val="clear"/>
        </w:rPr>
      </w:pPr>
      <w:r>
        <w:rPr/>
      </w:r>
    </w:p>
    <w:sectPr>
      <w:headerReference w:type="default" r:id="rId9"/>
      <w:headerReference w:type="first" r:id="rId10"/>
      <w:footerReference w:type="default" r:id="rId11"/>
      <w:footerReference w:type="first" r:id="rId12"/>
      <w:type w:val="nextPage"/>
      <w:pgSz w:w="11906" w:h="16838"/>
      <w:pgMar w:left="851" w:right="851" w:gutter="0" w:header="708" w:top="765" w:footer="708" w:bottom="992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alibri Light">
    <w:charset w:val="01"/>
    <w:family w:val="roman"/>
    <w:pitch w:val="default"/>
  </w:font>
  <w:font w:name="OpenSymbol">
    <w:altName w:val="Arial Unicode MS"/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Courier New">
    <w:charset w:val="01"/>
    <w:family w:val="roman"/>
    <w:pitch w:val="default"/>
  </w:font>
  <w:font w:name="Verdana">
    <w:charset w:val="01"/>
    <w:family w:val="roman"/>
    <w:pitch w:val="default"/>
  </w:font>
  <w:font w:name="Times New Roman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28313490"/>
    </w:sdtPr>
    <w:sdtContent>
      <w:p>
        <w:pPr>
          <w:pStyle w:val="Footer"/>
          <w:jc w:val="right"/>
          <w:rPr>
            <w:sz w:val="16"/>
            <w:szCs w:val="16"/>
          </w:rPr>
        </w:pPr>
        <w:r>
          <w:rPr>
            <w:sz w:val="16"/>
            <w:szCs w:val="16"/>
          </w:rPr>
          <w:t xml:space="preserve">Страница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7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из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12</w:t>
        </w:r>
        <w:r>
          <w:rPr>
            <w:sz w:val="16"/>
            <w:b/>
            <w:szCs w:val="16"/>
            <w:bCs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599800031"/>
    </w:sdtPr>
    <w:sdtContent>
      <w:p>
        <w:pPr>
          <w:pStyle w:val="Footer"/>
          <w:jc w:val="right"/>
          <w:rPr>
            <w:sz w:val="16"/>
            <w:szCs w:val="16"/>
          </w:rPr>
        </w:pPr>
        <w:r>
          <w:rPr>
            <w:sz w:val="16"/>
            <w:szCs w:val="16"/>
          </w:rPr>
          <w:t xml:space="preserve">Страница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10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из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12</w:t>
        </w:r>
        <w:r>
          <w:rPr>
            <w:sz w:val="16"/>
            <w:b/>
            <w:szCs w:val="16"/>
            <w:bCs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757828549"/>
    </w:sdtPr>
    <w:sdtContent>
      <w:p>
        <w:pPr>
          <w:pStyle w:val="Footer"/>
          <w:jc w:val="right"/>
          <w:rPr>
            <w:sz w:val="16"/>
            <w:szCs w:val="16"/>
          </w:rPr>
        </w:pPr>
        <w:r>
          <w:rPr>
            <w:sz w:val="16"/>
            <w:szCs w:val="16"/>
          </w:rPr>
          <w:t xml:space="preserve">Страница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12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из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12</w:t>
        </w:r>
        <w:r>
          <w:rPr>
            <w:sz w:val="16"/>
            <w:b/>
            <w:szCs w:val="16"/>
            <w:bCs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18"/>
        <w:b/>
        <w:szCs w:val="18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18"/>
        <w:b w:val="false"/>
        <w:szCs w:val="18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u w:val="none"/>
        <w:b w:val="false"/>
        <w:kern w:val="0"/>
        <w:effect w:val="none"/>
        <w:szCs w:val="20"/>
        <w:iCs w:val="false"/>
        <w:bCs w:val="false"/>
        <w:em w:val="none"/>
        <w:vanish w:val="false"/>
        <w:rFonts w:ascii="Times New Roman" w:hAnsi="Times New Roman" w:eastAsia="Calibri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b w:val="false"/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i w:val="false"/>
        <w:b/>
        <w:szCs w:val="24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b w:val="false"/>
        <w:szCs w:val="24"/>
        <w:bCs w:val="false"/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5"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6"/>
    <w:lvlOverride w:ilvl="0">
      <w:startOverride w:val="1"/>
    </w:lvlOverride>
  </w:num>
  <w:num w:numId="10">
    <w:abstractNumId w:val="6"/>
  </w:num>
</w:numbering>
</file>

<file path=word/settings.xml><?xml version="1.0" encoding="utf-8"?>
<w:settings xmlns:w="http://schemas.openxmlformats.org/wordprocessingml/2006/main">
  <w:zoom w:percent="13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814d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f814d9"/>
    <w:pPr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2"/>
    <w:uiPriority w:val="9"/>
    <w:semiHidden/>
    <w:unhideWhenUsed/>
    <w:qFormat/>
    <w:rsid w:val="002f2433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3"/>
    <w:autoRedefine/>
    <w:qFormat/>
    <w:rsid w:val="00f814d9"/>
    <w:pPr>
      <w:keepNext w:val="true"/>
      <w:numPr>
        <w:ilvl w:val="2"/>
        <w:numId w:val="3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f814d9"/>
    <w:pPr>
      <w:outlineLvl w:val="3"/>
    </w:pPr>
    <w:rPr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f814d9"/>
    <w:rPr>
      <w:rFonts w:ascii="Times New Roman" w:hAnsi="Times New Roman" w:eastAsia="Calibri" w:cs="Times New Roman"/>
      <w:b/>
      <w:sz w:val="28"/>
      <w:szCs w:val="28"/>
      <w:lang w:val="x-none" w:eastAsia="x-none"/>
    </w:rPr>
  </w:style>
  <w:style w:type="character" w:styleId="3" w:customStyle="1">
    <w:name w:val="Заголовок 3 Знак"/>
    <w:basedOn w:val="DefaultParagraphFont"/>
    <w:qFormat/>
    <w:rsid w:val="00f814d9"/>
    <w:rPr>
      <w:rFonts w:ascii="Times New Roman" w:hAnsi="Times New Roman" w:eastAsia="Calibri" w:cs="Times New Roman"/>
      <w:b/>
      <w:sz w:val="24"/>
      <w:szCs w:val="24"/>
      <w:lang w:val="x-none" w:eastAsia="x-none"/>
    </w:rPr>
  </w:style>
  <w:style w:type="character" w:styleId="4" w:customStyle="1">
    <w:name w:val="Заголовок 4 Знак"/>
    <w:basedOn w:val="DefaultParagraphFont"/>
    <w:qFormat/>
    <w:rsid w:val="00f814d9"/>
    <w:rPr>
      <w:rFonts w:ascii="Times New Roman" w:hAnsi="Times New Roman" w:eastAsia="Calibri" w:cs="Times New Roman"/>
      <w:b/>
      <w:bCs/>
      <w:sz w:val="24"/>
      <w:szCs w:val="24"/>
      <w:lang w:val="x-none" w:eastAsia="x-none"/>
    </w:rPr>
  </w:style>
  <w:style w:type="character" w:styleId="Style5" w:customStyle="1">
    <w:name w:val="Верхний колонтитул Знак"/>
    <w:basedOn w:val="DefaultParagraphFont"/>
    <w:uiPriority w:val="99"/>
    <w:qFormat/>
    <w:rsid w:val="00f814d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qFormat/>
    <w:rsid w:val="00f814d9"/>
    <w:rPr/>
  </w:style>
  <w:style w:type="character" w:styleId="Style6" w:customStyle="1">
    <w:name w:val="Абзац списка Знак"/>
    <w:link w:val="ListParagraph"/>
    <w:uiPriority w:val="34"/>
    <w:qFormat/>
    <w:locked/>
    <w:rsid w:val="00f814d9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7" w:customStyle="1">
    <w:name w:val="комментарий"/>
    <w:qFormat/>
    <w:rsid w:val="00f814d9"/>
    <w:rPr>
      <w:b/>
      <w:i/>
      <w:shd w:fill="FFFF99" w:val="clear"/>
    </w:rPr>
  </w:style>
  <w:style w:type="character" w:styleId="2" w:customStyle="1">
    <w:name w:val="Заголовок 2 Знак"/>
    <w:basedOn w:val="DefaultParagraphFont"/>
    <w:uiPriority w:val="9"/>
    <w:semiHidden/>
    <w:qFormat/>
    <w:rsid w:val="002f2433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  <w:lang w:eastAsia="ru-RU"/>
    </w:rPr>
  </w:style>
  <w:style w:type="character" w:styleId="Hyperlink">
    <w:name w:val="Hyperlink"/>
    <w:uiPriority w:val="99"/>
    <w:rsid w:val="002f2433"/>
    <w:rPr>
      <w:color w:val="0000FF"/>
      <w:u w:val="single"/>
    </w:rPr>
  </w:style>
  <w:style w:type="character" w:styleId="Style8" w:customStyle="1">
    <w:name w:val="Название Знак"/>
    <w:link w:val="11"/>
    <w:uiPriority w:val="10"/>
    <w:qFormat/>
    <w:rsid w:val="00636fc3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Style9" w:customStyle="1">
    <w:name w:val="Нижний колонтитул Знак"/>
    <w:basedOn w:val="DefaultParagraphFont"/>
    <w:uiPriority w:val="99"/>
    <w:qFormat/>
    <w:rsid w:val="00e52ecf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ab293f"/>
    <w:rPr>
      <w:sz w:val="16"/>
      <w:szCs w:val="16"/>
    </w:rPr>
  </w:style>
  <w:style w:type="character" w:styleId="Style10" w:customStyle="1">
    <w:name w:val="Текст примечания Знак"/>
    <w:basedOn w:val="DefaultParagraphFont"/>
    <w:link w:val="Annotationtext"/>
    <w:uiPriority w:val="99"/>
    <w:semiHidden/>
    <w:qFormat/>
    <w:rsid w:val="00ab293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1" w:customStyle="1">
    <w:name w:val="Тема примечания Знак"/>
    <w:basedOn w:val="Style10"/>
    <w:link w:val="Annotationsubject"/>
    <w:uiPriority w:val="99"/>
    <w:semiHidden/>
    <w:qFormat/>
    <w:rsid w:val="00ab293f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Style15">
    <w:name w:val="Колонтитул"/>
    <w:basedOn w:val="Normal"/>
    <w:qFormat/>
    <w:pPr/>
    <w:rPr/>
  </w:style>
  <w:style w:type="paragraph" w:styleId="Header">
    <w:name w:val="Header"/>
    <w:basedOn w:val="Normal"/>
    <w:link w:val="Style5"/>
    <w:uiPriority w:val="99"/>
    <w:rsid w:val="00f814d9"/>
    <w:pPr>
      <w:tabs>
        <w:tab w:val="clear" w:pos="720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lockText">
    <w:name w:val="Block Text"/>
    <w:basedOn w:val="Normal"/>
    <w:qFormat/>
    <w:rsid w:val="00f814d9"/>
    <w:pPr>
      <w:ind w:left="-567" w:right="-766" w:hanging="0"/>
      <w:jc w:val="center"/>
    </w:pPr>
    <w:rPr>
      <w:b/>
      <w:bCs/>
      <w:sz w:val="24"/>
      <w:szCs w:val="20"/>
    </w:rPr>
  </w:style>
  <w:style w:type="paragraph" w:styleId="ListParagraph">
    <w:name w:val="List Paragraph"/>
    <w:basedOn w:val="Normal"/>
    <w:link w:val="Style6"/>
    <w:uiPriority w:val="34"/>
    <w:qFormat/>
    <w:rsid w:val="00f814d9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Style16" w:customStyle="1">
    <w:name w:val="Таблица"/>
    <w:basedOn w:val="Normal"/>
    <w:qFormat/>
    <w:rsid w:val="00f814d9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17" w:customStyle="1">
    <w:name w:val="Таблица шапка"/>
    <w:basedOn w:val="Normal"/>
    <w:qFormat/>
    <w:rsid w:val="00f814d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ConsNonformat" w:customStyle="1">
    <w:name w:val="ConsNonformat"/>
    <w:qFormat/>
    <w:rsid w:val="0094372b"/>
    <w:pPr>
      <w:widowControl w:val="false"/>
      <w:suppressAutoHyphens w:val="true"/>
      <w:bidi w:val="0"/>
      <w:spacing w:lineRule="auto" w:line="240" w:before="0" w:after="0"/>
      <w:ind w:right="19772" w:hanging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Style18" w:customStyle="1">
    <w:name w:val="Знак Знак Знак Знак Знак Знак Знак Знак Знак"/>
    <w:basedOn w:val="Normal"/>
    <w:qFormat/>
    <w:rsid w:val="0094372b"/>
    <w:pPr>
      <w:spacing w:lineRule="exact" w:line="240" w:before="0" w:after="160"/>
      <w:jc w:val="both"/>
    </w:pPr>
    <w:rPr>
      <w:rFonts w:ascii="Verdana" w:hAnsi="Verdana"/>
      <w:sz w:val="22"/>
      <w:szCs w:val="20"/>
      <w:lang w:val="en-US" w:eastAsia="en-US"/>
    </w:rPr>
  </w:style>
  <w:style w:type="paragraph" w:styleId="TOC1">
    <w:name w:val="TOC 1"/>
    <w:basedOn w:val="Normal"/>
    <w:next w:val="Normal"/>
    <w:autoRedefine/>
    <w:uiPriority w:val="39"/>
    <w:rsid w:val="002f2433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2f2433"/>
    <w:pPr>
      <w:ind w:left="280" w:hanging="0"/>
    </w:pPr>
    <w:rPr>
      <w:rFonts w:cs="Calibri"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2f2433"/>
    <w:pPr>
      <w:tabs>
        <w:tab w:val="clear" w:pos="720"/>
        <w:tab w:val="left" w:pos="1120" w:leader="none"/>
        <w:tab w:val="right" w:pos="9911" w:leader="none"/>
      </w:tabs>
      <w:ind w:left="560" w:hanging="0"/>
    </w:pPr>
    <w:rPr>
      <w:rFonts w:cs="Calibri" w:cstheme="minorHAnsi"/>
      <w:sz w:val="20"/>
      <w:szCs w:val="20"/>
    </w:rPr>
  </w:style>
  <w:style w:type="paragraph" w:styleId="11" w:customStyle="1">
    <w:name w:val="Название1"/>
    <w:basedOn w:val="Normal"/>
    <w:link w:val="Style8"/>
    <w:uiPriority w:val="10"/>
    <w:qFormat/>
    <w:rsid w:val="00636fc3"/>
    <w:pPr>
      <w:jc w:val="center"/>
    </w:pPr>
    <w:rPr>
      <w:szCs w:val="20"/>
      <w:lang w:val="x-none" w:eastAsia="x-none"/>
    </w:rPr>
  </w:style>
  <w:style w:type="paragraph" w:styleId="Footer">
    <w:name w:val="Footer"/>
    <w:basedOn w:val="Normal"/>
    <w:link w:val="Style9"/>
    <w:uiPriority w:val="99"/>
    <w:unhideWhenUsed/>
    <w:rsid w:val="00e52ecf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Annotationtext">
    <w:name w:val="annotation text"/>
    <w:basedOn w:val="Normal"/>
    <w:link w:val="Style10"/>
    <w:uiPriority w:val="99"/>
    <w:semiHidden/>
    <w:unhideWhenUsed/>
    <w:qFormat/>
    <w:rsid w:val="00ab293f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1"/>
    <w:uiPriority w:val="99"/>
    <w:semiHidden/>
    <w:unhideWhenUsed/>
    <w:qFormat/>
    <w:rsid w:val="00ab293f"/>
    <w:pPr/>
    <w:rPr>
      <w:b/>
      <w:bCs/>
    </w:rPr>
  </w:style>
  <w:style w:type="paragraph" w:styleId="Style19">
    <w:name w:val="Содержимое врезки"/>
    <w:basedOn w:val="Normal"/>
    <w:qFormat/>
    <w:pPr/>
    <w:rPr/>
  </w:style>
  <w:style w:type="paragraph" w:styleId="Style20">
    <w:name w:val="Содержимое таблицы"/>
    <w:basedOn w:val="Normal"/>
    <w:qFormat/>
    <w:pPr>
      <w:widowControl w:val="false"/>
      <w:suppressLineNumbers/>
    </w:pPr>
    <w:rPr/>
  </w:style>
  <w:style w:type="paragraph" w:styleId="Style21">
    <w:name w:val="Заголовок таблицы"/>
    <w:basedOn w:val="Style20"/>
    <w:qFormat/>
    <w:pPr>
      <w:suppressLineNumbers/>
      <w:jc w:val="center"/>
    </w:pPr>
    <w:rPr>
      <w:b/>
      <w:bCs/>
    </w:rPr>
  </w:style>
  <w:style w:type="paragraph" w:styleId="Style22">
    <w:name w:val="Абзац списка"/>
    <w:basedOn w:val="Normal"/>
    <w:qFormat/>
    <w:pPr>
      <w:spacing w:before="0" w:after="0"/>
      <w:ind w:left="720" w:hanging="0"/>
      <w:contextualSpacing/>
      <w:jc w:val="left"/>
    </w:pPr>
    <w:rPr>
      <w:rFonts w:eastAsia="Calibri"/>
    </w:rPr>
  </w:style>
  <w:style w:type="numbering" w:styleId="NoList" w:default="1">
    <w:name w:val="No List"/>
    <w:uiPriority w:val="99"/>
    <w:semiHidden/>
    <w:unhideWhenUsed/>
    <w:qFormat/>
  </w:style>
  <w:style w:type="numbering" w:styleId="21" w:customStyle="1">
    <w:name w:val="Стиль2"/>
    <w:uiPriority w:val="99"/>
    <w:qFormat/>
    <w:rsid w:val="0023562a"/>
  </w:style>
  <w:style w:type="numbering" w:styleId="7586807801">
    <w:name w:val="7586807801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f814d9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header" Target="header3.xml"/><Relationship Id="rId6" Type="http://schemas.openxmlformats.org/officeDocument/2006/relationships/header" Target="header4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header" Target="header5.xml"/><Relationship Id="rId10" Type="http://schemas.openxmlformats.org/officeDocument/2006/relationships/header" Target="header6.xml"/><Relationship Id="rId11" Type="http://schemas.openxmlformats.org/officeDocument/2006/relationships/footer" Target="footer4.xml"/><Relationship Id="rId12" Type="http://schemas.openxmlformats.org/officeDocument/2006/relationships/footer" Target="footer5.xm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3077</TotalTime>
  <Application>AlterOffice/3.4.0.9$Linux_X86_64 LibreOffice_project/b8daf9e823b1a5463a2f48435ddc2e8696e7d4fc</Application>
  <AppVersion>15.0000</AppVersion>
  <Pages>12</Pages>
  <Words>3474</Words>
  <Characters>24211</Characters>
  <CharactersWithSpaces>27307</CharactersWithSpaces>
  <Paragraphs>366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2024-04-19T01:42:00Z</dcterms:created>
  <dc:creator>Демурова Вилена Витальевна</dc:creator>
  <dc:description/>
  <dc:language>ru-RU</dc:language>
  <cp:lastModifiedBy>kabakovaes</cp:lastModifiedBy>
  <cp:lastPrinted>2024-09-18T00:03:00Z</cp:lastPrinted>
  <dcterms:modified xsi:type="dcterms:W3CDTF">2026-07-23T14:08:51Z</dcterms:modified>
  <cp:revision>134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